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25FF5" w14:textId="1A329FB7" w:rsidR="00D67239" w:rsidRPr="00F75263" w:rsidRDefault="00D67239" w:rsidP="00D67239">
      <w:pPr>
        <w:pStyle w:val="Nagwek"/>
        <w:spacing w:before="120" w:after="120" w:line="240" w:lineRule="atLeast"/>
        <w:rPr>
          <w:rFonts w:ascii="Arial" w:hAnsi="Arial" w:cs="Arial"/>
          <w:sz w:val="24"/>
          <w:szCs w:val="24"/>
        </w:rPr>
      </w:pPr>
      <w:r w:rsidRPr="00F75263">
        <w:rPr>
          <w:rFonts w:ascii="Arial" w:hAnsi="Arial" w:cs="Arial"/>
          <w:sz w:val="24"/>
          <w:szCs w:val="24"/>
        </w:rPr>
        <w:t xml:space="preserve">Załącznik do uchwały nr </w:t>
      </w:r>
      <w:r w:rsidR="00555BDF">
        <w:rPr>
          <w:rFonts w:ascii="Arial" w:hAnsi="Arial" w:cs="Arial"/>
          <w:sz w:val="24"/>
          <w:szCs w:val="24"/>
        </w:rPr>
        <w:t xml:space="preserve">334 </w:t>
      </w:r>
      <w:r w:rsidRPr="00F75263">
        <w:rPr>
          <w:rFonts w:ascii="Arial" w:hAnsi="Arial" w:cs="Arial"/>
          <w:sz w:val="24"/>
          <w:szCs w:val="24"/>
        </w:rPr>
        <w:t xml:space="preserve">Komitetu Monitorującego Program Operacyjny Wiedza Edukacja Rozwój z dnia </w:t>
      </w:r>
      <w:r w:rsidR="00555BDF">
        <w:rPr>
          <w:rFonts w:ascii="Arial" w:hAnsi="Arial" w:cs="Arial"/>
          <w:sz w:val="24"/>
          <w:szCs w:val="24"/>
        </w:rPr>
        <w:t xml:space="preserve">30 września 2020 roku. </w:t>
      </w:r>
      <w:bookmarkStart w:id="0" w:name="_GoBack"/>
      <w:bookmarkEnd w:id="0"/>
    </w:p>
    <w:p w14:paraId="1B78150B" w14:textId="77777777" w:rsidR="008D7AF5" w:rsidRPr="00F75263" w:rsidRDefault="008D7AF5" w:rsidP="00D67239">
      <w:pPr>
        <w:spacing w:before="120" w:after="120" w:line="240" w:lineRule="atLeast"/>
        <w:rPr>
          <w:rFonts w:ascii="Arial" w:hAnsi="Arial" w:cs="Arial"/>
          <w:sz w:val="24"/>
          <w:szCs w:val="24"/>
        </w:rPr>
      </w:pPr>
    </w:p>
    <w:tbl>
      <w:tblPr>
        <w:tblW w:w="5000" w:type="pct"/>
        <w:tblLook w:val="00A0" w:firstRow="1" w:lastRow="0" w:firstColumn="1" w:lastColumn="0" w:noHBand="0" w:noVBand="0"/>
      </w:tblPr>
      <w:tblGrid>
        <w:gridCol w:w="643"/>
        <w:gridCol w:w="2711"/>
        <w:gridCol w:w="2349"/>
        <w:gridCol w:w="3585"/>
      </w:tblGrid>
      <w:tr w:rsidR="00BF7F7F" w:rsidRPr="00D402B4" w14:paraId="554D227A" w14:textId="77777777" w:rsidTr="00B81D3B">
        <w:trPr>
          <w:trHeight w:val="1017"/>
        </w:trPr>
        <w:tc>
          <w:tcPr>
            <w:tcW w:w="333" w:type="pct"/>
            <w:tcBorders>
              <w:top w:val="single" w:sz="6" w:space="0" w:color="000000"/>
              <w:left w:val="single" w:sz="6" w:space="0" w:color="000000"/>
              <w:bottom w:val="single" w:sz="6" w:space="0" w:color="000000"/>
              <w:right w:val="single" w:sz="6" w:space="0" w:color="000000"/>
            </w:tcBorders>
            <w:shd w:val="clear" w:color="auto" w:fill="D2D2D2"/>
            <w:vAlign w:val="center"/>
            <w:hideMark/>
          </w:tcPr>
          <w:p w14:paraId="68CC1512" w14:textId="77777777" w:rsidR="00BF7F7F" w:rsidRPr="00D402B4" w:rsidRDefault="00BF7F7F" w:rsidP="00BF7F7F">
            <w:pPr>
              <w:autoSpaceDE w:val="0"/>
              <w:autoSpaceDN w:val="0"/>
              <w:adjustRightInd w:val="0"/>
              <w:spacing w:after="60" w:line="240" w:lineRule="auto"/>
              <w:jc w:val="center"/>
              <w:rPr>
                <w:rFonts w:ascii="Arial" w:hAnsi="Arial" w:cs="Arial"/>
                <w:b/>
                <w:bCs/>
                <w:color w:val="000000"/>
                <w:sz w:val="24"/>
                <w:szCs w:val="24"/>
                <w:lang w:eastAsia="pl-PL"/>
              </w:rPr>
            </w:pPr>
            <w:r w:rsidRPr="00D402B4">
              <w:rPr>
                <w:rFonts w:ascii="Arial" w:hAnsi="Arial" w:cs="Arial"/>
                <w:b/>
                <w:bCs/>
                <w:color w:val="000000"/>
                <w:sz w:val="24"/>
                <w:szCs w:val="24"/>
                <w:lang w:eastAsia="pl-PL"/>
              </w:rPr>
              <w:t>L.</w:t>
            </w:r>
            <w:proofErr w:type="gramStart"/>
            <w:r w:rsidRPr="00D402B4">
              <w:rPr>
                <w:rFonts w:ascii="Arial" w:hAnsi="Arial" w:cs="Arial"/>
                <w:b/>
                <w:bCs/>
                <w:color w:val="000000"/>
                <w:sz w:val="24"/>
                <w:szCs w:val="24"/>
                <w:lang w:eastAsia="pl-PL"/>
              </w:rPr>
              <w:t>p</w:t>
            </w:r>
            <w:proofErr w:type="gramEnd"/>
            <w:r w:rsidRPr="00D402B4">
              <w:rPr>
                <w:rFonts w:ascii="Arial" w:hAnsi="Arial" w:cs="Arial"/>
                <w:b/>
                <w:bCs/>
                <w:color w:val="000000"/>
                <w:sz w:val="24"/>
                <w:szCs w:val="24"/>
                <w:lang w:eastAsia="pl-PL"/>
              </w:rPr>
              <w:t>.</w:t>
            </w:r>
          </w:p>
        </w:tc>
        <w:tc>
          <w:tcPr>
            <w:tcW w:w="1200" w:type="pct"/>
            <w:tcBorders>
              <w:top w:val="single" w:sz="6" w:space="0" w:color="000000"/>
              <w:left w:val="single" w:sz="6" w:space="0" w:color="000000"/>
              <w:bottom w:val="single" w:sz="6" w:space="0" w:color="000000"/>
              <w:right w:val="single" w:sz="6" w:space="0" w:color="000000"/>
            </w:tcBorders>
            <w:shd w:val="clear" w:color="auto" w:fill="D2D2D2"/>
            <w:vAlign w:val="center"/>
            <w:hideMark/>
          </w:tcPr>
          <w:p w14:paraId="785137B7" w14:textId="77777777" w:rsidR="00BF7F7F" w:rsidRPr="00D402B4" w:rsidRDefault="00BF7F7F" w:rsidP="00BF7F7F">
            <w:pPr>
              <w:autoSpaceDE w:val="0"/>
              <w:autoSpaceDN w:val="0"/>
              <w:adjustRightInd w:val="0"/>
              <w:spacing w:after="60" w:line="240" w:lineRule="auto"/>
              <w:jc w:val="center"/>
              <w:rPr>
                <w:rFonts w:ascii="Arial" w:hAnsi="Arial" w:cs="Arial"/>
                <w:b/>
                <w:bCs/>
                <w:color w:val="000000"/>
                <w:sz w:val="24"/>
                <w:szCs w:val="24"/>
                <w:lang w:eastAsia="pl-PL"/>
              </w:rPr>
            </w:pPr>
            <w:r w:rsidRPr="00D402B4">
              <w:rPr>
                <w:rFonts w:ascii="Arial" w:hAnsi="Arial" w:cs="Arial"/>
                <w:b/>
                <w:bCs/>
                <w:color w:val="000000"/>
                <w:sz w:val="24"/>
                <w:szCs w:val="24"/>
                <w:lang w:eastAsia="pl-PL"/>
              </w:rPr>
              <w:t>Roczny Plan Działania na 2020 r.</w:t>
            </w:r>
          </w:p>
        </w:tc>
        <w:tc>
          <w:tcPr>
            <w:tcW w:w="1401" w:type="pct"/>
            <w:tcBorders>
              <w:top w:val="single" w:sz="6" w:space="0" w:color="000000"/>
              <w:left w:val="single" w:sz="6" w:space="0" w:color="000000"/>
              <w:bottom w:val="single" w:sz="6" w:space="0" w:color="000000"/>
              <w:right w:val="single" w:sz="6" w:space="0" w:color="000000"/>
            </w:tcBorders>
            <w:shd w:val="clear" w:color="auto" w:fill="D2D2D2"/>
            <w:vAlign w:val="center"/>
            <w:hideMark/>
          </w:tcPr>
          <w:p w14:paraId="5ED36210" w14:textId="77777777" w:rsidR="00BF7F7F" w:rsidRPr="00D402B4" w:rsidRDefault="00BF7F7F" w:rsidP="00BF7F7F">
            <w:pPr>
              <w:autoSpaceDE w:val="0"/>
              <w:autoSpaceDN w:val="0"/>
              <w:adjustRightInd w:val="0"/>
              <w:spacing w:after="60" w:line="240" w:lineRule="auto"/>
              <w:jc w:val="center"/>
              <w:rPr>
                <w:rFonts w:ascii="Arial" w:hAnsi="Arial" w:cs="Arial"/>
                <w:b/>
                <w:bCs/>
                <w:color w:val="000000"/>
                <w:sz w:val="24"/>
                <w:szCs w:val="24"/>
                <w:lang w:eastAsia="pl-PL"/>
              </w:rPr>
            </w:pPr>
            <w:r w:rsidRPr="00D402B4">
              <w:rPr>
                <w:rFonts w:ascii="Arial" w:hAnsi="Arial" w:cs="Arial"/>
                <w:b/>
                <w:bCs/>
                <w:color w:val="000000"/>
                <w:sz w:val="24"/>
                <w:szCs w:val="24"/>
                <w:lang w:eastAsia="pl-PL"/>
              </w:rPr>
              <w:t>Było</w:t>
            </w:r>
          </w:p>
        </w:tc>
        <w:tc>
          <w:tcPr>
            <w:tcW w:w="2066" w:type="pct"/>
            <w:tcBorders>
              <w:top w:val="single" w:sz="6" w:space="0" w:color="000000"/>
              <w:left w:val="single" w:sz="6" w:space="0" w:color="000000"/>
              <w:bottom w:val="single" w:sz="6" w:space="0" w:color="000000"/>
              <w:right w:val="single" w:sz="6" w:space="0" w:color="000000"/>
            </w:tcBorders>
            <w:shd w:val="clear" w:color="auto" w:fill="D2D2D2"/>
            <w:vAlign w:val="center"/>
            <w:hideMark/>
          </w:tcPr>
          <w:p w14:paraId="6E65DFF1" w14:textId="77777777" w:rsidR="00BF7F7F" w:rsidRPr="00D402B4" w:rsidRDefault="00BF7F7F" w:rsidP="00BF7F7F">
            <w:pPr>
              <w:autoSpaceDE w:val="0"/>
              <w:autoSpaceDN w:val="0"/>
              <w:adjustRightInd w:val="0"/>
              <w:spacing w:after="60" w:line="240" w:lineRule="auto"/>
              <w:jc w:val="center"/>
              <w:rPr>
                <w:rFonts w:ascii="Arial" w:hAnsi="Arial" w:cs="Arial"/>
                <w:b/>
                <w:bCs/>
                <w:color w:val="000000"/>
                <w:sz w:val="24"/>
                <w:szCs w:val="24"/>
                <w:lang w:eastAsia="pl-PL"/>
              </w:rPr>
            </w:pPr>
            <w:r w:rsidRPr="00D402B4">
              <w:rPr>
                <w:rFonts w:ascii="Arial" w:hAnsi="Arial" w:cs="Arial"/>
                <w:b/>
                <w:bCs/>
                <w:color w:val="000000"/>
                <w:sz w:val="24"/>
                <w:szCs w:val="24"/>
                <w:lang w:eastAsia="pl-PL"/>
              </w:rPr>
              <w:t>Jest</w:t>
            </w:r>
          </w:p>
        </w:tc>
      </w:tr>
      <w:tr w:rsidR="00BF7F7F" w:rsidRPr="00D402B4" w14:paraId="1AE6D489" w14:textId="77777777" w:rsidTr="00B81D3B">
        <w:trPr>
          <w:trHeight w:val="420"/>
        </w:trPr>
        <w:tc>
          <w:tcPr>
            <w:tcW w:w="333" w:type="pct"/>
            <w:tcBorders>
              <w:top w:val="single" w:sz="6" w:space="0" w:color="000000"/>
              <w:left w:val="single" w:sz="6" w:space="0" w:color="000000"/>
              <w:bottom w:val="single" w:sz="6" w:space="0" w:color="000000"/>
              <w:right w:val="single" w:sz="6" w:space="0" w:color="000000"/>
            </w:tcBorders>
            <w:hideMark/>
          </w:tcPr>
          <w:p w14:paraId="0B307AF7" w14:textId="77777777" w:rsidR="00BF7F7F" w:rsidRPr="00D402B4" w:rsidRDefault="00BF7F7F" w:rsidP="00BF7F7F">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t>1.</w:t>
            </w:r>
          </w:p>
        </w:tc>
        <w:tc>
          <w:tcPr>
            <w:tcW w:w="1200" w:type="pct"/>
            <w:tcBorders>
              <w:top w:val="single" w:sz="6" w:space="0" w:color="000000"/>
              <w:left w:val="single" w:sz="6" w:space="0" w:color="000000"/>
              <w:bottom w:val="single" w:sz="6" w:space="0" w:color="000000"/>
              <w:right w:val="single" w:sz="6" w:space="0" w:color="000000"/>
            </w:tcBorders>
            <w:hideMark/>
          </w:tcPr>
          <w:p w14:paraId="5DEA04A2" w14:textId="77777777" w:rsidR="00BF7F7F" w:rsidRPr="00D402B4" w:rsidRDefault="00BF7F7F" w:rsidP="00BF7F7F">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t xml:space="preserve">Fiszka projektu pozakonkursowego pn. </w:t>
            </w:r>
            <w:r w:rsidR="005036A8" w:rsidRPr="00D402B4">
              <w:rPr>
                <w:rFonts w:ascii="Arial" w:hAnsi="Arial" w:cs="Arial"/>
                <w:bCs/>
                <w:i/>
                <w:color w:val="000000"/>
                <w:sz w:val="24"/>
                <w:szCs w:val="24"/>
                <w:lang w:eastAsia="pl-PL"/>
              </w:rPr>
              <w:t>Zapewnienie dostępu do wymiaru sprawiedliwości dla osób z niepełnosprawnościami</w:t>
            </w:r>
          </w:p>
        </w:tc>
        <w:tc>
          <w:tcPr>
            <w:tcW w:w="1401" w:type="pct"/>
            <w:tcBorders>
              <w:top w:val="single" w:sz="6" w:space="0" w:color="000000"/>
              <w:left w:val="single" w:sz="6" w:space="0" w:color="000000"/>
              <w:bottom w:val="single" w:sz="6" w:space="0" w:color="000000"/>
              <w:right w:val="single" w:sz="6" w:space="0" w:color="000000"/>
            </w:tcBorders>
            <w:vAlign w:val="center"/>
            <w:hideMark/>
          </w:tcPr>
          <w:p w14:paraId="75C0AFD0" w14:textId="77777777" w:rsidR="00BF7F7F" w:rsidRPr="00D402B4" w:rsidRDefault="00BF7F7F" w:rsidP="00BF7F7F">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t>Brak</w:t>
            </w:r>
          </w:p>
        </w:tc>
        <w:tc>
          <w:tcPr>
            <w:tcW w:w="2066" w:type="pct"/>
            <w:tcBorders>
              <w:top w:val="single" w:sz="6" w:space="0" w:color="000000"/>
              <w:left w:val="single" w:sz="6" w:space="0" w:color="000000"/>
              <w:bottom w:val="single" w:sz="6" w:space="0" w:color="000000"/>
              <w:right w:val="single" w:sz="6" w:space="0" w:color="000000"/>
            </w:tcBorders>
            <w:hideMark/>
          </w:tcPr>
          <w:p w14:paraId="7C25AD27" w14:textId="77777777" w:rsidR="00BF7F7F" w:rsidRPr="00D402B4" w:rsidRDefault="00BF7F7F" w:rsidP="00BF7F7F">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t>Dodanie fiszki.</w:t>
            </w:r>
          </w:p>
          <w:p w14:paraId="4C70B544" w14:textId="77777777" w:rsidR="00BF7F7F" w:rsidRPr="00D402B4" w:rsidRDefault="00BF7F7F" w:rsidP="00BF7F7F">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t xml:space="preserve">Fiszka stanowi załącznik 1.1 </w:t>
            </w:r>
            <w:proofErr w:type="gramStart"/>
            <w:r w:rsidRPr="00D402B4">
              <w:rPr>
                <w:rFonts w:ascii="Arial" w:hAnsi="Arial" w:cs="Arial"/>
                <w:bCs/>
                <w:color w:val="000000"/>
                <w:sz w:val="24"/>
                <w:szCs w:val="24"/>
                <w:lang w:eastAsia="pl-PL"/>
              </w:rPr>
              <w:t>do</w:t>
            </w:r>
            <w:proofErr w:type="gramEnd"/>
            <w:r w:rsidRPr="00D402B4">
              <w:rPr>
                <w:rFonts w:ascii="Arial" w:hAnsi="Arial" w:cs="Arial"/>
                <w:bCs/>
                <w:color w:val="000000"/>
                <w:sz w:val="24"/>
                <w:szCs w:val="24"/>
                <w:lang w:eastAsia="pl-PL"/>
              </w:rPr>
              <w:t xml:space="preserve"> niniejszej tabeli.</w:t>
            </w:r>
          </w:p>
        </w:tc>
      </w:tr>
      <w:tr w:rsidR="00BF7F7F" w:rsidRPr="00D402B4" w14:paraId="06B1CB3B" w14:textId="77777777" w:rsidTr="00B81D3B">
        <w:trPr>
          <w:trHeight w:val="420"/>
        </w:trPr>
        <w:tc>
          <w:tcPr>
            <w:tcW w:w="333" w:type="pct"/>
            <w:tcBorders>
              <w:top w:val="single" w:sz="6" w:space="0" w:color="000000"/>
              <w:left w:val="single" w:sz="6" w:space="0" w:color="000000"/>
              <w:bottom w:val="single" w:sz="6" w:space="0" w:color="000000"/>
              <w:right w:val="single" w:sz="6" w:space="0" w:color="000000"/>
            </w:tcBorders>
          </w:tcPr>
          <w:p w14:paraId="247455A7" w14:textId="77777777" w:rsidR="00BF7F7F" w:rsidRPr="00D402B4" w:rsidRDefault="00BF7F7F" w:rsidP="00BF7F7F">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t>2.</w:t>
            </w:r>
          </w:p>
        </w:tc>
        <w:tc>
          <w:tcPr>
            <w:tcW w:w="1200" w:type="pct"/>
            <w:tcBorders>
              <w:top w:val="single" w:sz="6" w:space="0" w:color="000000"/>
              <w:left w:val="single" w:sz="6" w:space="0" w:color="000000"/>
              <w:bottom w:val="single" w:sz="6" w:space="0" w:color="000000"/>
              <w:right w:val="single" w:sz="6" w:space="0" w:color="000000"/>
            </w:tcBorders>
          </w:tcPr>
          <w:p w14:paraId="1E069EE4" w14:textId="77777777" w:rsidR="00BF7F7F" w:rsidRPr="00D402B4" w:rsidRDefault="00BF7F7F" w:rsidP="00BF7F7F">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t>Fiszka projektu pozakonkursowego pn.</w:t>
            </w:r>
            <w:r w:rsidR="005036A8" w:rsidRPr="00D402B4">
              <w:rPr>
                <w:rFonts w:ascii="Arial" w:hAnsi="Arial" w:cs="Arial"/>
                <w:bCs/>
                <w:color w:val="000000"/>
                <w:sz w:val="24"/>
                <w:szCs w:val="24"/>
                <w:lang w:eastAsia="pl-PL"/>
              </w:rPr>
              <w:t xml:space="preserve"> </w:t>
            </w:r>
            <w:r w:rsidR="005036A8" w:rsidRPr="00D402B4">
              <w:rPr>
                <w:rFonts w:ascii="Arial" w:hAnsi="Arial" w:cs="Arial"/>
                <w:bCs/>
                <w:i/>
                <w:color w:val="000000"/>
                <w:sz w:val="24"/>
                <w:szCs w:val="24"/>
                <w:lang w:eastAsia="pl-PL"/>
              </w:rPr>
              <w:t>Szkolenia z zakresu prawa ochrony konsumenta i egzekucji sądowej dla kadr wymiaru sprawiedliwości</w:t>
            </w:r>
          </w:p>
        </w:tc>
        <w:tc>
          <w:tcPr>
            <w:tcW w:w="1401" w:type="pct"/>
            <w:tcBorders>
              <w:top w:val="single" w:sz="6" w:space="0" w:color="000000"/>
              <w:left w:val="single" w:sz="6" w:space="0" w:color="000000"/>
              <w:bottom w:val="single" w:sz="6" w:space="0" w:color="000000"/>
              <w:right w:val="single" w:sz="6" w:space="0" w:color="000000"/>
            </w:tcBorders>
            <w:vAlign w:val="center"/>
          </w:tcPr>
          <w:p w14:paraId="7F0A65A5" w14:textId="77777777" w:rsidR="00BF7F7F" w:rsidRPr="00D402B4" w:rsidRDefault="00BF7F7F" w:rsidP="00BF7F7F">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t>Brak</w:t>
            </w:r>
          </w:p>
        </w:tc>
        <w:tc>
          <w:tcPr>
            <w:tcW w:w="2066" w:type="pct"/>
            <w:tcBorders>
              <w:top w:val="single" w:sz="6" w:space="0" w:color="000000"/>
              <w:left w:val="single" w:sz="6" w:space="0" w:color="000000"/>
              <w:bottom w:val="single" w:sz="6" w:space="0" w:color="000000"/>
              <w:right w:val="single" w:sz="6" w:space="0" w:color="000000"/>
            </w:tcBorders>
          </w:tcPr>
          <w:p w14:paraId="4CEA5C75" w14:textId="77777777" w:rsidR="00BF7F7F" w:rsidRPr="00D402B4" w:rsidRDefault="00BF7F7F" w:rsidP="00BF7F7F">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t>Dodanie fiszki.</w:t>
            </w:r>
          </w:p>
          <w:p w14:paraId="55E9D589" w14:textId="77777777" w:rsidR="00BF7F7F" w:rsidRPr="00D402B4" w:rsidRDefault="00BF7F7F" w:rsidP="00BF7F7F">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t xml:space="preserve">Fiszka stanowi załącznik 1.2 </w:t>
            </w:r>
            <w:proofErr w:type="gramStart"/>
            <w:r w:rsidRPr="00D402B4">
              <w:rPr>
                <w:rFonts w:ascii="Arial" w:hAnsi="Arial" w:cs="Arial"/>
                <w:bCs/>
                <w:color w:val="000000"/>
                <w:sz w:val="24"/>
                <w:szCs w:val="24"/>
                <w:lang w:eastAsia="pl-PL"/>
              </w:rPr>
              <w:t>do</w:t>
            </w:r>
            <w:proofErr w:type="gramEnd"/>
            <w:r w:rsidRPr="00D402B4">
              <w:rPr>
                <w:rFonts w:ascii="Arial" w:hAnsi="Arial" w:cs="Arial"/>
                <w:bCs/>
                <w:color w:val="000000"/>
                <w:sz w:val="24"/>
                <w:szCs w:val="24"/>
                <w:lang w:eastAsia="pl-PL"/>
              </w:rPr>
              <w:t xml:space="preserve"> niniejszej tabeli.</w:t>
            </w:r>
          </w:p>
        </w:tc>
      </w:tr>
      <w:tr w:rsidR="00BF7F7F" w:rsidRPr="00D402B4" w14:paraId="76AC1B3D" w14:textId="77777777" w:rsidTr="00B81D3B">
        <w:trPr>
          <w:trHeight w:val="420"/>
        </w:trPr>
        <w:tc>
          <w:tcPr>
            <w:tcW w:w="333" w:type="pct"/>
            <w:tcBorders>
              <w:top w:val="single" w:sz="6" w:space="0" w:color="000000"/>
              <w:left w:val="single" w:sz="6" w:space="0" w:color="000000"/>
              <w:bottom w:val="single" w:sz="6" w:space="0" w:color="000000"/>
              <w:right w:val="single" w:sz="6" w:space="0" w:color="000000"/>
            </w:tcBorders>
          </w:tcPr>
          <w:p w14:paraId="6DCE3D78" w14:textId="77777777" w:rsidR="00BF7F7F" w:rsidRPr="00D402B4" w:rsidRDefault="00BF7F7F" w:rsidP="00BF7F7F">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t>3.</w:t>
            </w:r>
          </w:p>
        </w:tc>
        <w:tc>
          <w:tcPr>
            <w:tcW w:w="1200" w:type="pct"/>
            <w:tcBorders>
              <w:top w:val="single" w:sz="6" w:space="0" w:color="000000"/>
              <w:left w:val="single" w:sz="6" w:space="0" w:color="000000"/>
              <w:bottom w:val="single" w:sz="6" w:space="0" w:color="000000"/>
              <w:right w:val="single" w:sz="6" w:space="0" w:color="000000"/>
            </w:tcBorders>
          </w:tcPr>
          <w:p w14:paraId="1C1916C9" w14:textId="77777777" w:rsidR="00BF7F7F" w:rsidRPr="00D402B4" w:rsidRDefault="00BF7F7F" w:rsidP="005036A8">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t>Fiszka projektu pozakonkursowego pn.</w:t>
            </w:r>
            <w:r w:rsidR="005036A8" w:rsidRPr="00D402B4">
              <w:rPr>
                <w:rFonts w:ascii="Arial" w:hAnsi="Arial" w:cs="Arial"/>
                <w:bCs/>
                <w:color w:val="000000"/>
                <w:sz w:val="24"/>
                <w:szCs w:val="24"/>
                <w:lang w:eastAsia="pl-PL"/>
              </w:rPr>
              <w:t xml:space="preserve"> </w:t>
            </w:r>
            <w:r w:rsidR="005036A8" w:rsidRPr="00D402B4">
              <w:rPr>
                <w:rFonts w:ascii="Arial" w:hAnsi="Arial" w:cs="Arial"/>
                <w:bCs/>
                <w:i/>
                <w:color w:val="000000"/>
                <w:sz w:val="24"/>
                <w:szCs w:val="24"/>
                <w:lang w:eastAsia="pl-PL"/>
              </w:rPr>
              <w:t>Zorganizowana przestępczość transgraniczna ze szczególnym uwzględnieniem metod zabezpieczania i odzyskiwania mienia pochodzącego z przestępstw</w:t>
            </w:r>
          </w:p>
        </w:tc>
        <w:tc>
          <w:tcPr>
            <w:tcW w:w="1401" w:type="pct"/>
            <w:tcBorders>
              <w:top w:val="single" w:sz="6" w:space="0" w:color="000000"/>
              <w:left w:val="single" w:sz="6" w:space="0" w:color="000000"/>
              <w:bottom w:val="single" w:sz="6" w:space="0" w:color="000000"/>
              <w:right w:val="single" w:sz="6" w:space="0" w:color="000000"/>
            </w:tcBorders>
            <w:vAlign w:val="center"/>
          </w:tcPr>
          <w:p w14:paraId="098BEFF8" w14:textId="77777777" w:rsidR="00BF7F7F" w:rsidRPr="00D402B4" w:rsidRDefault="00BF7F7F" w:rsidP="00BF7F7F">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t>Brak</w:t>
            </w:r>
          </w:p>
        </w:tc>
        <w:tc>
          <w:tcPr>
            <w:tcW w:w="2066" w:type="pct"/>
            <w:tcBorders>
              <w:top w:val="single" w:sz="6" w:space="0" w:color="000000"/>
              <w:left w:val="single" w:sz="6" w:space="0" w:color="000000"/>
              <w:bottom w:val="single" w:sz="6" w:space="0" w:color="000000"/>
              <w:right w:val="single" w:sz="6" w:space="0" w:color="000000"/>
            </w:tcBorders>
          </w:tcPr>
          <w:p w14:paraId="5881B37E" w14:textId="77777777" w:rsidR="00BF7F7F" w:rsidRPr="00D402B4" w:rsidRDefault="00BF7F7F" w:rsidP="00BF7F7F">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t>Dodanie fiszki.</w:t>
            </w:r>
          </w:p>
          <w:p w14:paraId="02CFBDAC" w14:textId="77777777" w:rsidR="00BF7F7F" w:rsidRPr="00D402B4" w:rsidRDefault="00BF7F7F" w:rsidP="00BF7F7F">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t xml:space="preserve">Fiszka stanowi załącznik 1.3 </w:t>
            </w:r>
            <w:proofErr w:type="gramStart"/>
            <w:r w:rsidRPr="00D402B4">
              <w:rPr>
                <w:rFonts w:ascii="Arial" w:hAnsi="Arial" w:cs="Arial"/>
                <w:bCs/>
                <w:color w:val="000000"/>
                <w:sz w:val="24"/>
                <w:szCs w:val="24"/>
                <w:lang w:eastAsia="pl-PL"/>
              </w:rPr>
              <w:t>do</w:t>
            </w:r>
            <w:proofErr w:type="gramEnd"/>
            <w:r w:rsidRPr="00D402B4">
              <w:rPr>
                <w:rFonts w:ascii="Arial" w:hAnsi="Arial" w:cs="Arial"/>
                <w:bCs/>
                <w:color w:val="000000"/>
                <w:sz w:val="24"/>
                <w:szCs w:val="24"/>
                <w:lang w:eastAsia="pl-PL"/>
              </w:rPr>
              <w:t xml:space="preserve"> niniejszej tabeli.</w:t>
            </w:r>
          </w:p>
        </w:tc>
      </w:tr>
      <w:tr w:rsidR="00BF7F7F" w:rsidRPr="00D402B4" w14:paraId="3E6148A4" w14:textId="77777777" w:rsidTr="00B81D3B">
        <w:trPr>
          <w:trHeight w:val="420"/>
        </w:trPr>
        <w:tc>
          <w:tcPr>
            <w:tcW w:w="333" w:type="pct"/>
            <w:tcBorders>
              <w:top w:val="single" w:sz="6" w:space="0" w:color="000000"/>
              <w:left w:val="single" w:sz="6" w:space="0" w:color="000000"/>
              <w:bottom w:val="single" w:sz="6" w:space="0" w:color="000000"/>
              <w:right w:val="single" w:sz="6" w:space="0" w:color="000000"/>
            </w:tcBorders>
          </w:tcPr>
          <w:p w14:paraId="439DF65D" w14:textId="77777777" w:rsidR="00BF7F7F" w:rsidRPr="00D402B4" w:rsidRDefault="00BF7F7F" w:rsidP="00BF7F7F">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t>4.</w:t>
            </w:r>
          </w:p>
        </w:tc>
        <w:tc>
          <w:tcPr>
            <w:tcW w:w="1200" w:type="pct"/>
            <w:tcBorders>
              <w:top w:val="single" w:sz="6" w:space="0" w:color="000000"/>
              <w:left w:val="single" w:sz="6" w:space="0" w:color="000000"/>
              <w:bottom w:val="single" w:sz="6" w:space="0" w:color="000000"/>
              <w:right w:val="single" w:sz="6" w:space="0" w:color="000000"/>
            </w:tcBorders>
          </w:tcPr>
          <w:p w14:paraId="1E011A4A" w14:textId="77777777" w:rsidR="00BF7F7F" w:rsidRPr="00D402B4" w:rsidRDefault="00BF7F7F" w:rsidP="00BF7F7F">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t>Fiszka projektu pozakonkursowego pn.</w:t>
            </w:r>
            <w:r w:rsidR="005036A8" w:rsidRPr="00D402B4">
              <w:rPr>
                <w:rFonts w:ascii="Arial" w:hAnsi="Arial" w:cs="Arial"/>
                <w:bCs/>
                <w:color w:val="000000"/>
                <w:sz w:val="24"/>
                <w:szCs w:val="24"/>
                <w:lang w:eastAsia="pl-PL"/>
              </w:rPr>
              <w:t xml:space="preserve"> </w:t>
            </w:r>
            <w:r w:rsidR="005036A8" w:rsidRPr="00D402B4">
              <w:rPr>
                <w:rFonts w:ascii="Arial" w:hAnsi="Arial" w:cs="Arial"/>
                <w:bCs/>
                <w:i/>
                <w:color w:val="000000"/>
                <w:sz w:val="24"/>
                <w:szCs w:val="24"/>
                <w:lang w:eastAsia="pl-PL"/>
              </w:rPr>
              <w:t xml:space="preserve">Przygotowanie i wdrożenie metodyki z zakresu pozyskiwania i przetwarzania informacji oraz komunikacji przy realizacji zadań prokuratury z wykorzystaniem systemu informatycznego </w:t>
            </w:r>
            <w:r w:rsidR="005036A8" w:rsidRPr="00D402B4">
              <w:rPr>
                <w:rFonts w:ascii="Arial" w:hAnsi="Arial" w:cs="Arial"/>
                <w:bCs/>
                <w:i/>
                <w:color w:val="000000"/>
                <w:sz w:val="24"/>
                <w:szCs w:val="24"/>
                <w:lang w:eastAsia="pl-PL"/>
              </w:rPr>
              <w:lastRenderedPageBreak/>
              <w:t>PROK-SYS</w:t>
            </w:r>
          </w:p>
        </w:tc>
        <w:tc>
          <w:tcPr>
            <w:tcW w:w="1401" w:type="pct"/>
            <w:tcBorders>
              <w:top w:val="single" w:sz="6" w:space="0" w:color="000000"/>
              <w:left w:val="single" w:sz="6" w:space="0" w:color="000000"/>
              <w:bottom w:val="single" w:sz="6" w:space="0" w:color="000000"/>
              <w:right w:val="single" w:sz="6" w:space="0" w:color="000000"/>
            </w:tcBorders>
            <w:vAlign w:val="center"/>
          </w:tcPr>
          <w:p w14:paraId="2B5A4DD2" w14:textId="77777777" w:rsidR="00BF7F7F" w:rsidRPr="00D402B4" w:rsidRDefault="00BF7F7F" w:rsidP="00BF7F7F">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lastRenderedPageBreak/>
              <w:t>Brak</w:t>
            </w:r>
          </w:p>
        </w:tc>
        <w:tc>
          <w:tcPr>
            <w:tcW w:w="2066" w:type="pct"/>
            <w:tcBorders>
              <w:top w:val="single" w:sz="6" w:space="0" w:color="000000"/>
              <w:left w:val="single" w:sz="6" w:space="0" w:color="000000"/>
              <w:bottom w:val="single" w:sz="6" w:space="0" w:color="000000"/>
              <w:right w:val="single" w:sz="6" w:space="0" w:color="000000"/>
            </w:tcBorders>
          </w:tcPr>
          <w:p w14:paraId="426828F6" w14:textId="77777777" w:rsidR="00BF7F7F" w:rsidRPr="00D402B4" w:rsidRDefault="00BF7F7F" w:rsidP="00BF7F7F">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t>Dodanie fiszki.</w:t>
            </w:r>
          </w:p>
          <w:p w14:paraId="30F83DA2" w14:textId="77777777" w:rsidR="00BF7F7F" w:rsidRPr="00D402B4" w:rsidRDefault="00BF7F7F" w:rsidP="00BF7F7F">
            <w:pPr>
              <w:autoSpaceDE w:val="0"/>
              <w:autoSpaceDN w:val="0"/>
              <w:adjustRightInd w:val="0"/>
              <w:spacing w:after="60" w:line="240" w:lineRule="auto"/>
              <w:rPr>
                <w:rFonts w:ascii="Arial" w:hAnsi="Arial" w:cs="Arial"/>
                <w:bCs/>
                <w:color w:val="000000"/>
                <w:sz w:val="24"/>
                <w:szCs w:val="24"/>
                <w:lang w:eastAsia="pl-PL"/>
              </w:rPr>
            </w:pPr>
            <w:r w:rsidRPr="00D402B4">
              <w:rPr>
                <w:rFonts w:ascii="Arial" w:hAnsi="Arial" w:cs="Arial"/>
                <w:bCs/>
                <w:color w:val="000000"/>
                <w:sz w:val="24"/>
                <w:szCs w:val="24"/>
                <w:lang w:eastAsia="pl-PL"/>
              </w:rPr>
              <w:t xml:space="preserve">Fiszka stanowi załącznik 1.4 </w:t>
            </w:r>
            <w:proofErr w:type="gramStart"/>
            <w:r w:rsidRPr="00D402B4">
              <w:rPr>
                <w:rFonts w:ascii="Arial" w:hAnsi="Arial" w:cs="Arial"/>
                <w:bCs/>
                <w:color w:val="000000"/>
                <w:sz w:val="24"/>
                <w:szCs w:val="24"/>
                <w:lang w:eastAsia="pl-PL"/>
              </w:rPr>
              <w:t>do</w:t>
            </w:r>
            <w:proofErr w:type="gramEnd"/>
            <w:r w:rsidRPr="00D402B4">
              <w:rPr>
                <w:rFonts w:ascii="Arial" w:hAnsi="Arial" w:cs="Arial"/>
                <w:bCs/>
                <w:color w:val="000000"/>
                <w:sz w:val="24"/>
                <w:szCs w:val="24"/>
                <w:lang w:eastAsia="pl-PL"/>
              </w:rPr>
              <w:t xml:space="preserve"> niniejszej tabeli.</w:t>
            </w:r>
          </w:p>
        </w:tc>
      </w:tr>
    </w:tbl>
    <w:p w14:paraId="352C9EC9" w14:textId="77777777" w:rsidR="00BF7F7F" w:rsidRDefault="00BF7F7F" w:rsidP="00D67239">
      <w:pPr>
        <w:spacing w:before="120" w:after="120" w:line="240" w:lineRule="atLeast"/>
        <w:rPr>
          <w:rFonts w:ascii="Arial" w:hAnsi="Arial" w:cs="Arial"/>
          <w:sz w:val="24"/>
          <w:szCs w:val="24"/>
        </w:rPr>
      </w:pPr>
    </w:p>
    <w:p w14:paraId="0BD44B61" w14:textId="77777777" w:rsidR="00BF7F7F" w:rsidRDefault="00BF7F7F">
      <w:pPr>
        <w:spacing w:after="0" w:line="240" w:lineRule="auto"/>
        <w:rPr>
          <w:rFonts w:ascii="Arial" w:hAnsi="Arial" w:cs="Arial"/>
          <w:sz w:val="24"/>
          <w:szCs w:val="24"/>
        </w:rPr>
      </w:pPr>
      <w:r>
        <w:rPr>
          <w:rFonts w:ascii="Arial" w:hAnsi="Arial" w:cs="Arial"/>
          <w:sz w:val="24"/>
          <w:szCs w:val="24"/>
        </w:rPr>
        <w:br w:type="page"/>
      </w:r>
    </w:p>
    <w:p w14:paraId="6A5C9137" w14:textId="77777777" w:rsidR="00ED18B9" w:rsidRDefault="00BF7F7F" w:rsidP="00D67239">
      <w:pPr>
        <w:spacing w:before="120" w:after="120" w:line="240" w:lineRule="atLeast"/>
        <w:rPr>
          <w:rFonts w:ascii="Arial" w:hAnsi="Arial" w:cs="Arial"/>
          <w:sz w:val="24"/>
          <w:szCs w:val="24"/>
        </w:rPr>
      </w:pPr>
      <w:r w:rsidRPr="00BF7F7F">
        <w:rPr>
          <w:rFonts w:ascii="Arial" w:hAnsi="Arial" w:cs="Arial"/>
          <w:sz w:val="24"/>
          <w:szCs w:val="24"/>
        </w:rPr>
        <w:lastRenderedPageBreak/>
        <w:t>Załącznik 1.1</w:t>
      </w:r>
    </w:p>
    <w:tbl>
      <w:tblPr>
        <w:tblW w:w="935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130"/>
        <w:gridCol w:w="711"/>
        <w:gridCol w:w="142"/>
        <w:gridCol w:w="423"/>
        <w:gridCol w:w="1138"/>
        <w:gridCol w:w="270"/>
        <w:gridCol w:w="10"/>
        <w:gridCol w:w="420"/>
        <w:gridCol w:w="997"/>
        <w:gridCol w:w="418"/>
        <w:gridCol w:w="7"/>
        <w:gridCol w:w="136"/>
        <w:gridCol w:w="425"/>
        <w:gridCol w:w="857"/>
        <w:gridCol w:w="278"/>
        <w:gridCol w:w="150"/>
        <w:gridCol w:w="1844"/>
      </w:tblGrid>
      <w:tr w:rsidR="00B75F78" w:rsidRPr="00B75F78" w14:paraId="6905885E" w14:textId="77777777" w:rsidTr="00B81D3B">
        <w:trPr>
          <w:trHeight w:val="351"/>
        </w:trPr>
        <w:tc>
          <w:tcPr>
            <w:tcW w:w="2406" w:type="dxa"/>
            <w:gridSpan w:val="4"/>
            <w:tcBorders>
              <w:top w:val="single" w:sz="12" w:space="0" w:color="auto"/>
              <w:bottom w:val="single" w:sz="12" w:space="0" w:color="auto"/>
            </w:tcBorders>
            <w:shd w:val="clear" w:color="auto" w:fill="CCC0D9"/>
            <w:vAlign w:val="center"/>
          </w:tcPr>
          <w:p w14:paraId="7C3BE808" w14:textId="77777777" w:rsidR="00B75F78" w:rsidRPr="00B75F78" w:rsidRDefault="00B75F78" w:rsidP="00B75F78">
            <w:pPr>
              <w:spacing w:after="0" w:line="240" w:lineRule="auto"/>
              <w:rPr>
                <w:rFonts w:ascii="Arial" w:hAnsi="Arial" w:cs="Arial"/>
                <w:b/>
                <w:sz w:val="28"/>
                <w:szCs w:val="28"/>
              </w:rPr>
            </w:pPr>
            <w:r w:rsidRPr="00B75F78">
              <w:rPr>
                <w:rFonts w:ascii="Arial" w:hAnsi="Arial" w:cs="Arial"/>
                <w:b/>
                <w:sz w:val="28"/>
                <w:szCs w:val="28"/>
              </w:rPr>
              <w:t>DZIAŁANIE PO WER</w:t>
            </w:r>
          </w:p>
        </w:tc>
        <w:tc>
          <w:tcPr>
            <w:tcW w:w="6950" w:type="dxa"/>
            <w:gridSpan w:val="13"/>
            <w:tcBorders>
              <w:top w:val="single" w:sz="12" w:space="0" w:color="auto"/>
              <w:bottom w:val="single" w:sz="12" w:space="0" w:color="auto"/>
            </w:tcBorders>
            <w:shd w:val="clear" w:color="auto" w:fill="FFFFFF"/>
            <w:vAlign w:val="center"/>
          </w:tcPr>
          <w:p w14:paraId="2141812E" w14:textId="77777777" w:rsidR="00B75F78" w:rsidRPr="00B75F78" w:rsidRDefault="00B75F78" w:rsidP="00B75F78">
            <w:pPr>
              <w:spacing w:before="120" w:after="120"/>
              <w:rPr>
                <w:rFonts w:ascii="Arial" w:hAnsi="Arial" w:cs="Arial"/>
                <w:b/>
                <w:sz w:val="24"/>
                <w:szCs w:val="24"/>
              </w:rPr>
            </w:pPr>
            <w:r w:rsidRPr="00B75F78">
              <w:rPr>
                <w:rFonts w:ascii="Arial" w:hAnsi="Arial" w:cs="Arial"/>
                <w:b/>
                <w:sz w:val="24"/>
                <w:szCs w:val="24"/>
              </w:rPr>
              <w:t>Działanie 2.17 Skuteczny wymiar sprawiedliwości</w:t>
            </w:r>
          </w:p>
        </w:tc>
      </w:tr>
      <w:tr w:rsidR="00B75F78" w:rsidRPr="00B75F78" w14:paraId="77DBE391" w14:textId="77777777" w:rsidTr="00B81D3B">
        <w:trPr>
          <w:trHeight w:val="351"/>
        </w:trPr>
        <w:tc>
          <w:tcPr>
            <w:tcW w:w="9356" w:type="dxa"/>
            <w:gridSpan w:val="17"/>
            <w:tcBorders>
              <w:top w:val="single" w:sz="12" w:space="0" w:color="auto"/>
              <w:bottom w:val="single" w:sz="12" w:space="0" w:color="auto"/>
            </w:tcBorders>
            <w:shd w:val="clear" w:color="auto" w:fill="CCC0D9"/>
            <w:vAlign w:val="center"/>
          </w:tcPr>
          <w:p w14:paraId="144D6301" w14:textId="77777777" w:rsidR="00B75F78" w:rsidRPr="00B75F78" w:rsidRDefault="00B75F78" w:rsidP="00B75F78">
            <w:pPr>
              <w:spacing w:before="120" w:after="120"/>
              <w:rPr>
                <w:rFonts w:ascii="Arial" w:hAnsi="Arial" w:cs="Arial"/>
                <w:b/>
                <w:sz w:val="28"/>
                <w:szCs w:val="28"/>
              </w:rPr>
            </w:pPr>
            <w:r w:rsidRPr="00B75F78">
              <w:rPr>
                <w:rFonts w:ascii="Arial" w:hAnsi="Arial" w:cs="Arial"/>
                <w:b/>
                <w:sz w:val="28"/>
                <w:szCs w:val="28"/>
              </w:rPr>
              <w:t>FISZKA PROJEKTU POZAKONKURSOWEGO KONCEPCYJNEGO</w:t>
            </w:r>
          </w:p>
        </w:tc>
      </w:tr>
      <w:tr w:rsidR="00B75F78" w:rsidRPr="00B75F78" w14:paraId="6EC6A958" w14:textId="77777777" w:rsidTr="00B81D3B">
        <w:trPr>
          <w:trHeight w:val="351"/>
        </w:trPr>
        <w:tc>
          <w:tcPr>
            <w:tcW w:w="9356" w:type="dxa"/>
            <w:gridSpan w:val="17"/>
            <w:tcBorders>
              <w:top w:val="single" w:sz="12" w:space="0" w:color="auto"/>
              <w:bottom w:val="single" w:sz="2" w:space="0" w:color="auto"/>
            </w:tcBorders>
            <w:shd w:val="clear" w:color="auto" w:fill="CCC0D9"/>
            <w:vAlign w:val="center"/>
          </w:tcPr>
          <w:p w14:paraId="49B63972" w14:textId="77777777" w:rsidR="00B75F78" w:rsidRPr="00B75F78" w:rsidRDefault="00B75F78" w:rsidP="00B75F78">
            <w:pPr>
              <w:spacing w:before="120" w:after="120"/>
              <w:rPr>
                <w:rFonts w:ascii="Arial" w:hAnsi="Arial" w:cs="Arial"/>
                <w:b/>
                <w:sz w:val="28"/>
                <w:szCs w:val="28"/>
              </w:rPr>
            </w:pPr>
            <w:r w:rsidRPr="00B75F78">
              <w:rPr>
                <w:rFonts w:ascii="Arial" w:hAnsi="Arial" w:cs="Arial"/>
                <w:b/>
                <w:sz w:val="28"/>
                <w:szCs w:val="28"/>
              </w:rPr>
              <w:t>PODSTAWOWE INFORMACJE O PROJEKCIE</w:t>
            </w:r>
          </w:p>
        </w:tc>
      </w:tr>
      <w:tr w:rsidR="00B75F78" w:rsidRPr="00B75F78" w14:paraId="7E3F4665" w14:textId="77777777" w:rsidTr="00B81D3B">
        <w:trPr>
          <w:trHeight w:val="351"/>
        </w:trPr>
        <w:tc>
          <w:tcPr>
            <w:tcW w:w="1983" w:type="dxa"/>
            <w:gridSpan w:val="3"/>
            <w:tcBorders>
              <w:top w:val="single" w:sz="12" w:space="0" w:color="auto"/>
              <w:bottom w:val="single" w:sz="2" w:space="0" w:color="auto"/>
            </w:tcBorders>
            <w:shd w:val="clear" w:color="auto" w:fill="CCC0D9"/>
            <w:vAlign w:val="center"/>
          </w:tcPr>
          <w:p w14:paraId="565B9A7D"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Tytuł lub zakres projektu</w:t>
            </w:r>
            <w:r w:rsidRPr="00B75F78">
              <w:rPr>
                <w:rFonts w:ascii="Arial" w:hAnsi="Arial" w:cs="Arial"/>
                <w:sz w:val="24"/>
                <w:szCs w:val="24"/>
                <w:vertAlign w:val="superscript"/>
              </w:rPr>
              <w:footnoteReference w:id="1"/>
            </w:r>
          </w:p>
        </w:tc>
        <w:tc>
          <w:tcPr>
            <w:tcW w:w="7373" w:type="dxa"/>
            <w:gridSpan w:val="14"/>
            <w:tcBorders>
              <w:top w:val="single" w:sz="12" w:space="0" w:color="auto"/>
              <w:left w:val="single" w:sz="4" w:space="0" w:color="auto"/>
              <w:bottom w:val="single" w:sz="2" w:space="0" w:color="auto"/>
              <w:right w:val="single" w:sz="12" w:space="0" w:color="auto"/>
            </w:tcBorders>
            <w:vAlign w:val="center"/>
          </w:tcPr>
          <w:p w14:paraId="1342A1A1" w14:textId="77777777" w:rsidR="00B75F78" w:rsidRPr="00B75F78" w:rsidRDefault="00B75F78" w:rsidP="00B75F78">
            <w:pPr>
              <w:spacing w:line="360" w:lineRule="auto"/>
              <w:rPr>
                <w:rFonts w:ascii="Arial" w:hAnsi="Arial" w:cs="Arial"/>
                <w:b/>
                <w:sz w:val="24"/>
                <w:szCs w:val="24"/>
              </w:rPr>
            </w:pPr>
            <w:r w:rsidRPr="00B75F78">
              <w:rPr>
                <w:rFonts w:ascii="Arial" w:hAnsi="Arial" w:cs="Arial"/>
                <w:b/>
                <w:sz w:val="24"/>
                <w:szCs w:val="24"/>
              </w:rPr>
              <w:t>Zapewnienie dostępu do wymiaru sprawiedliwości dla osób z niepełnosprawnościami</w:t>
            </w:r>
          </w:p>
        </w:tc>
      </w:tr>
      <w:tr w:rsidR="00B75F78" w:rsidRPr="00B75F78" w14:paraId="433A7BB5" w14:textId="77777777" w:rsidTr="00B81D3B">
        <w:trPr>
          <w:trHeight w:val="703"/>
        </w:trPr>
        <w:tc>
          <w:tcPr>
            <w:tcW w:w="1983" w:type="dxa"/>
            <w:gridSpan w:val="3"/>
            <w:tcBorders>
              <w:top w:val="single" w:sz="2" w:space="0" w:color="auto"/>
              <w:bottom w:val="single" w:sz="2" w:space="0" w:color="auto"/>
            </w:tcBorders>
            <w:shd w:val="clear" w:color="auto" w:fill="CCC0D9"/>
            <w:vAlign w:val="center"/>
          </w:tcPr>
          <w:p w14:paraId="5C7C97A3"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 xml:space="preserve">Cel szczegółowy PO WER, w </w:t>
            </w:r>
            <w:proofErr w:type="gramStart"/>
            <w:r w:rsidRPr="00B75F78">
              <w:rPr>
                <w:rFonts w:ascii="Arial" w:hAnsi="Arial" w:cs="Arial"/>
                <w:sz w:val="24"/>
                <w:szCs w:val="24"/>
              </w:rPr>
              <w:t>ramach którego</w:t>
            </w:r>
            <w:proofErr w:type="gramEnd"/>
            <w:r w:rsidRPr="00B75F78">
              <w:rPr>
                <w:rFonts w:ascii="Arial" w:hAnsi="Arial" w:cs="Arial"/>
                <w:sz w:val="24"/>
                <w:szCs w:val="24"/>
              </w:rPr>
              <w:t xml:space="preserve"> projekt będzie realizowany</w:t>
            </w:r>
          </w:p>
        </w:tc>
        <w:tc>
          <w:tcPr>
            <w:tcW w:w="7373" w:type="dxa"/>
            <w:gridSpan w:val="14"/>
            <w:tcBorders>
              <w:top w:val="single" w:sz="2" w:space="0" w:color="auto"/>
              <w:left w:val="single" w:sz="4" w:space="0" w:color="auto"/>
              <w:bottom w:val="single" w:sz="2" w:space="0" w:color="auto"/>
              <w:right w:val="single" w:sz="12" w:space="0" w:color="auto"/>
            </w:tcBorders>
            <w:vAlign w:val="center"/>
          </w:tcPr>
          <w:p w14:paraId="32D2274D" w14:textId="77777777" w:rsidR="00B75F78" w:rsidRPr="00B75F78" w:rsidRDefault="00B75F78" w:rsidP="00B75F78">
            <w:pPr>
              <w:spacing w:line="360" w:lineRule="auto"/>
              <w:rPr>
                <w:rFonts w:ascii="Arial" w:hAnsi="Arial" w:cs="Arial"/>
                <w:sz w:val="24"/>
                <w:szCs w:val="24"/>
              </w:rPr>
            </w:pPr>
            <w:r w:rsidRPr="00B75F78">
              <w:rPr>
                <w:rFonts w:ascii="Arial" w:hAnsi="Arial" w:cs="Arial"/>
                <w:iCs/>
                <w:color w:val="000000"/>
                <w:sz w:val="24"/>
                <w:szCs w:val="24"/>
              </w:rPr>
              <w:t>Włączenie idei dostępności do głównego nurtu dobrego rządzenia</w:t>
            </w:r>
          </w:p>
        </w:tc>
      </w:tr>
      <w:tr w:rsidR="00B75F78" w:rsidRPr="00B75F78" w14:paraId="1250A1F6" w14:textId="77777777" w:rsidTr="00B81D3B">
        <w:trPr>
          <w:trHeight w:val="703"/>
        </w:trPr>
        <w:tc>
          <w:tcPr>
            <w:tcW w:w="1983" w:type="dxa"/>
            <w:gridSpan w:val="3"/>
            <w:tcBorders>
              <w:top w:val="single" w:sz="2" w:space="0" w:color="auto"/>
              <w:bottom w:val="single" w:sz="2" w:space="0" w:color="auto"/>
            </w:tcBorders>
            <w:shd w:val="clear" w:color="auto" w:fill="CCC0D9"/>
            <w:vAlign w:val="center"/>
          </w:tcPr>
          <w:p w14:paraId="35A89437"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Priorytet inwestycyjny</w:t>
            </w:r>
          </w:p>
        </w:tc>
        <w:tc>
          <w:tcPr>
            <w:tcW w:w="7373" w:type="dxa"/>
            <w:gridSpan w:val="14"/>
            <w:tcBorders>
              <w:top w:val="single" w:sz="2" w:space="0" w:color="auto"/>
              <w:left w:val="single" w:sz="4" w:space="0" w:color="auto"/>
              <w:bottom w:val="single" w:sz="2" w:space="0" w:color="auto"/>
              <w:right w:val="single" w:sz="12" w:space="0" w:color="auto"/>
            </w:tcBorders>
            <w:vAlign w:val="center"/>
          </w:tcPr>
          <w:p w14:paraId="1F4AC412" w14:textId="77777777" w:rsidR="00B75F78" w:rsidRPr="00B75F78" w:rsidRDefault="00B75F78" w:rsidP="00B75F78">
            <w:pPr>
              <w:spacing w:line="360" w:lineRule="auto"/>
              <w:rPr>
                <w:rFonts w:ascii="Arial" w:hAnsi="Arial" w:cs="Arial"/>
                <w:sz w:val="24"/>
                <w:szCs w:val="24"/>
              </w:rPr>
            </w:pPr>
            <w:r w:rsidRPr="00B75F78">
              <w:rPr>
                <w:rFonts w:ascii="Arial" w:hAnsi="Arial" w:cs="Arial"/>
                <w:sz w:val="24"/>
                <w:szCs w:val="24"/>
              </w:rPr>
              <w:t>11.I Inwestycje w zdolności instytucjonalne i w sprawność administracji publicznej oraz efektywność usług publicznych na szczeblu krajowym, regionalnym i lokalnym w celu przeprowadzenia reform, z uwzględnieniem lepszego stanowienia prawa i dobrego rządzenia</w:t>
            </w:r>
          </w:p>
        </w:tc>
      </w:tr>
      <w:tr w:rsidR="00B75F78" w:rsidRPr="00B75F78" w14:paraId="28F8932C" w14:textId="77777777" w:rsidTr="00B81D3B">
        <w:trPr>
          <w:trHeight w:val="636"/>
        </w:trPr>
        <w:tc>
          <w:tcPr>
            <w:tcW w:w="1983" w:type="dxa"/>
            <w:gridSpan w:val="3"/>
            <w:tcBorders>
              <w:top w:val="single" w:sz="2" w:space="0" w:color="auto"/>
              <w:bottom w:val="single" w:sz="2" w:space="0" w:color="auto"/>
            </w:tcBorders>
            <w:shd w:val="clear" w:color="auto" w:fill="CCC0D9"/>
            <w:vAlign w:val="center"/>
          </w:tcPr>
          <w:p w14:paraId="3A620F6B"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Typ/typy projektów przewidziane do realizacji w ramach projektu</w:t>
            </w:r>
          </w:p>
        </w:tc>
        <w:tc>
          <w:tcPr>
            <w:tcW w:w="7373" w:type="dxa"/>
            <w:gridSpan w:val="14"/>
            <w:tcBorders>
              <w:top w:val="single" w:sz="2" w:space="0" w:color="auto"/>
              <w:left w:val="single" w:sz="4" w:space="0" w:color="auto"/>
              <w:bottom w:val="single" w:sz="2" w:space="0" w:color="auto"/>
              <w:right w:val="single" w:sz="12" w:space="0" w:color="auto"/>
            </w:tcBorders>
            <w:vAlign w:val="center"/>
          </w:tcPr>
          <w:p w14:paraId="5EF6466C" w14:textId="77777777" w:rsidR="00B75F78" w:rsidRPr="00B75F78" w:rsidRDefault="00B75F78" w:rsidP="00B75F78">
            <w:pPr>
              <w:spacing w:line="360" w:lineRule="auto"/>
              <w:rPr>
                <w:rFonts w:ascii="Arial" w:hAnsi="Arial" w:cs="Arial"/>
                <w:sz w:val="24"/>
                <w:szCs w:val="24"/>
              </w:rPr>
            </w:pPr>
            <w:r w:rsidRPr="00B75F78">
              <w:rPr>
                <w:rFonts w:ascii="Arial" w:eastAsia="Times New Roman" w:hAnsi="Arial" w:cs="Arial"/>
                <w:sz w:val="24"/>
                <w:szCs w:val="24"/>
                <w:lang w:eastAsia="en-GB"/>
              </w:rPr>
              <w:t xml:space="preserve">Dostosowanie funkcjonowania wymiaru sprawiedliwości do potrzeb osób z niepełnosprawnościami poprzez podniesienie kompetencji kadr sektora sprawiedliwości w zakresie </w:t>
            </w:r>
            <w:proofErr w:type="gramStart"/>
            <w:r w:rsidRPr="00B75F78">
              <w:rPr>
                <w:rFonts w:ascii="Arial" w:eastAsia="Times New Roman" w:hAnsi="Arial" w:cs="Arial"/>
                <w:sz w:val="24"/>
                <w:szCs w:val="24"/>
                <w:lang w:eastAsia="en-GB"/>
              </w:rPr>
              <w:t>praw</w:t>
            </w:r>
            <w:proofErr w:type="gramEnd"/>
            <w:r w:rsidRPr="00B75F78">
              <w:rPr>
                <w:rFonts w:ascii="Arial" w:eastAsia="Times New Roman" w:hAnsi="Arial" w:cs="Arial"/>
                <w:sz w:val="24"/>
                <w:szCs w:val="24"/>
                <w:lang w:eastAsia="en-GB"/>
              </w:rPr>
              <w:t xml:space="preserve"> osób niepełnosprawnych i kontaktu z osobami niepełnosprawnymi oraz wdrażanie usprawnień z zakresu dostępności</w:t>
            </w:r>
          </w:p>
        </w:tc>
      </w:tr>
      <w:tr w:rsidR="00B75F78" w:rsidRPr="00B75F78" w14:paraId="1D80E303" w14:textId="77777777" w:rsidTr="00B81D3B">
        <w:trPr>
          <w:trHeight w:val="636"/>
        </w:trPr>
        <w:tc>
          <w:tcPr>
            <w:tcW w:w="1983" w:type="dxa"/>
            <w:gridSpan w:val="3"/>
            <w:tcBorders>
              <w:top w:val="single" w:sz="2" w:space="0" w:color="auto"/>
              <w:bottom w:val="single" w:sz="2" w:space="0" w:color="auto"/>
            </w:tcBorders>
            <w:shd w:val="clear" w:color="auto" w:fill="CCC0D9"/>
            <w:vAlign w:val="center"/>
          </w:tcPr>
          <w:p w14:paraId="6332D513"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Cel główny projektu</w:t>
            </w:r>
          </w:p>
        </w:tc>
        <w:tc>
          <w:tcPr>
            <w:tcW w:w="7373" w:type="dxa"/>
            <w:gridSpan w:val="14"/>
            <w:tcBorders>
              <w:top w:val="single" w:sz="2" w:space="0" w:color="auto"/>
              <w:left w:val="single" w:sz="4" w:space="0" w:color="auto"/>
              <w:bottom w:val="single" w:sz="2" w:space="0" w:color="auto"/>
              <w:right w:val="single" w:sz="12" w:space="0" w:color="auto"/>
            </w:tcBorders>
          </w:tcPr>
          <w:p w14:paraId="30252ECB" w14:textId="77777777" w:rsidR="00B75F78" w:rsidRPr="00B75F78" w:rsidRDefault="00B75F78" w:rsidP="00B75F78">
            <w:pPr>
              <w:spacing w:line="360" w:lineRule="auto"/>
              <w:rPr>
                <w:rFonts w:ascii="Arial" w:hAnsi="Arial" w:cs="Arial"/>
                <w:sz w:val="24"/>
                <w:szCs w:val="24"/>
              </w:rPr>
            </w:pPr>
            <w:bookmarkStart w:id="1" w:name="_Hlk33174085"/>
            <w:r w:rsidRPr="00B75F78">
              <w:rPr>
                <w:rFonts w:ascii="Arial" w:hAnsi="Arial" w:cs="Arial"/>
                <w:sz w:val="24"/>
                <w:szCs w:val="24"/>
              </w:rPr>
              <w:t>Poprawa dostępności do wymiaru sprawiedliwości dla osób z niepełnosprawnościami poprzez podniesienie kompetencji pracowników wymiaru sprawiedliwości w zakresie wiedzy związanej z potrzebami osób z niepełnosprawnościami, a także poprzez</w:t>
            </w:r>
            <w:bookmarkEnd w:id="1"/>
            <w:r w:rsidRPr="00B75F78">
              <w:rPr>
                <w:rFonts w:ascii="Arial" w:hAnsi="Arial" w:cs="Arial"/>
                <w:sz w:val="24"/>
                <w:szCs w:val="24"/>
              </w:rPr>
              <w:t xml:space="preserve"> instalację urządzeń umożliwiających samodzielne korzystanie z budynków sądów przez osoby z </w:t>
            </w:r>
            <w:r w:rsidRPr="00B75F78">
              <w:rPr>
                <w:rFonts w:ascii="Arial" w:hAnsi="Arial" w:cs="Arial"/>
                <w:sz w:val="24"/>
                <w:szCs w:val="24"/>
              </w:rPr>
              <w:lastRenderedPageBreak/>
              <w:t>niepełnosprawnościami</w:t>
            </w:r>
          </w:p>
        </w:tc>
      </w:tr>
      <w:tr w:rsidR="00B75F78" w:rsidRPr="00B75F78" w14:paraId="19863134" w14:textId="77777777" w:rsidTr="00B81D3B">
        <w:trPr>
          <w:trHeight w:val="636"/>
        </w:trPr>
        <w:tc>
          <w:tcPr>
            <w:tcW w:w="1983" w:type="dxa"/>
            <w:gridSpan w:val="3"/>
            <w:tcBorders>
              <w:top w:val="single" w:sz="2" w:space="0" w:color="auto"/>
              <w:bottom w:val="single" w:sz="2" w:space="0" w:color="auto"/>
            </w:tcBorders>
            <w:shd w:val="clear" w:color="auto" w:fill="CCC0D9"/>
            <w:vAlign w:val="center"/>
          </w:tcPr>
          <w:p w14:paraId="7491A594"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lastRenderedPageBreak/>
              <w:t>Kamienie milowe projektu</w:t>
            </w:r>
            <w:r w:rsidRPr="00B75F78">
              <w:rPr>
                <w:rFonts w:ascii="Arial" w:hAnsi="Arial" w:cs="Arial"/>
                <w:sz w:val="24"/>
                <w:szCs w:val="24"/>
                <w:vertAlign w:val="superscript"/>
              </w:rPr>
              <w:footnoteReference w:id="2"/>
            </w:r>
          </w:p>
        </w:tc>
        <w:tc>
          <w:tcPr>
            <w:tcW w:w="7373" w:type="dxa"/>
            <w:gridSpan w:val="14"/>
            <w:tcBorders>
              <w:top w:val="single" w:sz="2" w:space="0" w:color="auto"/>
              <w:bottom w:val="single" w:sz="2" w:space="0" w:color="auto"/>
            </w:tcBorders>
          </w:tcPr>
          <w:p w14:paraId="128A2783" w14:textId="77777777" w:rsidR="00B75F78" w:rsidRPr="00B75F78" w:rsidRDefault="00B75F78" w:rsidP="00B75F78">
            <w:pPr>
              <w:numPr>
                <w:ilvl w:val="0"/>
                <w:numId w:val="34"/>
              </w:numPr>
              <w:spacing w:after="160" w:line="360" w:lineRule="auto"/>
              <w:contextualSpacing/>
              <w:rPr>
                <w:rFonts w:ascii="Arial" w:hAnsi="Arial" w:cs="Arial"/>
                <w:b/>
                <w:bCs/>
                <w:sz w:val="24"/>
                <w:szCs w:val="24"/>
              </w:rPr>
            </w:pPr>
            <w:r w:rsidRPr="00B75F78">
              <w:rPr>
                <w:rFonts w:ascii="Arial" w:hAnsi="Arial" w:cs="Arial"/>
                <w:b/>
                <w:bCs/>
                <w:sz w:val="24"/>
                <w:szCs w:val="24"/>
              </w:rPr>
              <w:t>Wybór grupy ekspertów (Zespołu Doradczego) – ok. 7-10 osób:</w:t>
            </w:r>
          </w:p>
          <w:p w14:paraId="591A9319" w14:textId="77777777" w:rsidR="00B75F78" w:rsidRPr="00B75F78" w:rsidRDefault="00B75F78" w:rsidP="00B75F78">
            <w:pPr>
              <w:numPr>
                <w:ilvl w:val="0"/>
                <w:numId w:val="38"/>
              </w:numPr>
              <w:spacing w:after="160" w:line="360" w:lineRule="auto"/>
              <w:ind w:left="1028"/>
              <w:contextualSpacing/>
              <w:rPr>
                <w:rFonts w:ascii="Arial" w:hAnsi="Arial" w:cs="Arial"/>
                <w:sz w:val="24"/>
                <w:szCs w:val="24"/>
              </w:rPr>
            </w:pPr>
            <w:proofErr w:type="gramStart"/>
            <w:r w:rsidRPr="00B75F78">
              <w:rPr>
                <w:rFonts w:ascii="Arial" w:hAnsi="Arial" w:cs="Arial"/>
                <w:sz w:val="24"/>
                <w:szCs w:val="24"/>
              </w:rPr>
              <w:t>ogłoszenie</w:t>
            </w:r>
            <w:proofErr w:type="gramEnd"/>
            <w:r w:rsidRPr="00B75F78">
              <w:rPr>
                <w:rFonts w:ascii="Arial" w:hAnsi="Arial" w:cs="Arial"/>
                <w:sz w:val="24"/>
                <w:szCs w:val="24"/>
              </w:rPr>
              <w:t xml:space="preserve"> konkursu,</w:t>
            </w:r>
          </w:p>
          <w:p w14:paraId="6B89FCFF" w14:textId="77777777" w:rsidR="00B75F78" w:rsidRPr="00B75F78" w:rsidRDefault="00B75F78" w:rsidP="00B75F78">
            <w:pPr>
              <w:numPr>
                <w:ilvl w:val="0"/>
                <w:numId w:val="38"/>
              </w:numPr>
              <w:spacing w:after="160" w:line="360" w:lineRule="auto"/>
              <w:ind w:left="1028"/>
              <w:contextualSpacing/>
              <w:rPr>
                <w:rFonts w:ascii="Arial" w:hAnsi="Arial" w:cs="Arial"/>
                <w:sz w:val="24"/>
                <w:szCs w:val="24"/>
              </w:rPr>
            </w:pPr>
            <w:proofErr w:type="gramStart"/>
            <w:r w:rsidRPr="00B75F78">
              <w:rPr>
                <w:rFonts w:ascii="Arial" w:hAnsi="Arial" w:cs="Arial"/>
                <w:sz w:val="24"/>
                <w:szCs w:val="24"/>
              </w:rPr>
              <w:t>wyłonienie</w:t>
            </w:r>
            <w:proofErr w:type="gramEnd"/>
            <w:r w:rsidRPr="00B75F78">
              <w:rPr>
                <w:rFonts w:ascii="Arial" w:hAnsi="Arial" w:cs="Arial"/>
                <w:sz w:val="24"/>
                <w:szCs w:val="24"/>
              </w:rPr>
              <w:t xml:space="preserve"> członków Zespołu Doradczego.</w:t>
            </w:r>
          </w:p>
          <w:p w14:paraId="27BBB774" w14:textId="77777777" w:rsidR="00B75F78" w:rsidRPr="00B75F78" w:rsidRDefault="00B75F78" w:rsidP="00B75F78">
            <w:pPr>
              <w:spacing w:before="120" w:after="120" w:line="360" w:lineRule="auto"/>
              <w:ind w:left="324"/>
              <w:rPr>
                <w:rFonts w:ascii="Arial" w:hAnsi="Arial" w:cs="Arial"/>
                <w:sz w:val="24"/>
                <w:szCs w:val="24"/>
              </w:rPr>
            </w:pPr>
            <w:r w:rsidRPr="00B75F78">
              <w:rPr>
                <w:rFonts w:ascii="Arial" w:hAnsi="Arial" w:cs="Arial"/>
                <w:sz w:val="24"/>
                <w:szCs w:val="24"/>
              </w:rPr>
              <w:t>Termin: IV kwartał 2020</w:t>
            </w:r>
          </w:p>
          <w:p w14:paraId="67799782" w14:textId="77777777" w:rsidR="00B75F78" w:rsidRPr="00B75F78" w:rsidRDefault="00B75F78" w:rsidP="00B75F78">
            <w:pPr>
              <w:numPr>
                <w:ilvl w:val="0"/>
                <w:numId w:val="34"/>
              </w:numPr>
              <w:spacing w:after="160" w:line="360" w:lineRule="auto"/>
              <w:contextualSpacing/>
              <w:rPr>
                <w:rFonts w:ascii="Arial" w:hAnsi="Arial" w:cs="Arial"/>
                <w:b/>
                <w:bCs/>
                <w:sz w:val="24"/>
                <w:szCs w:val="24"/>
              </w:rPr>
            </w:pPr>
            <w:r w:rsidRPr="00B75F78">
              <w:rPr>
                <w:rFonts w:ascii="Arial" w:hAnsi="Arial" w:cs="Arial"/>
                <w:b/>
                <w:bCs/>
                <w:sz w:val="24"/>
                <w:szCs w:val="24"/>
              </w:rPr>
              <w:t>Opracowanie Modelu Dostępnego Sądu oraz ram programowych szkoleń</w:t>
            </w:r>
          </w:p>
          <w:p w14:paraId="3EB6432C" w14:textId="77777777" w:rsidR="00B75F78" w:rsidRPr="00B75F78" w:rsidRDefault="00B75F78" w:rsidP="00B81D3B">
            <w:pPr>
              <w:numPr>
                <w:ilvl w:val="0"/>
                <w:numId w:val="37"/>
              </w:numPr>
              <w:spacing w:before="120" w:after="120" w:line="360" w:lineRule="auto"/>
              <w:rPr>
                <w:rFonts w:ascii="Arial" w:hAnsi="Arial" w:cs="Arial"/>
                <w:sz w:val="24"/>
                <w:szCs w:val="24"/>
              </w:rPr>
            </w:pPr>
            <w:proofErr w:type="gramStart"/>
            <w:r w:rsidRPr="00B75F78">
              <w:rPr>
                <w:rFonts w:ascii="Arial" w:hAnsi="Arial" w:cs="Arial"/>
                <w:sz w:val="24"/>
                <w:szCs w:val="24"/>
              </w:rPr>
              <w:t>opracowanie</w:t>
            </w:r>
            <w:proofErr w:type="gramEnd"/>
            <w:r w:rsidRPr="00B75F78">
              <w:rPr>
                <w:rFonts w:ascii="Arial" w:hAnsi="Arial" w:cs="Arial"/>
                <w:sz w:val="24"/>
                <w:szCs w:val="24"/>
              </w:rPr>
              <w:t xml:space="preserve"> Modelu Dostępnego Sądu (MDS) dostosowanego do specyfiki pracy i roli instytucji, przy wykorzystaniu elementów już istniejących modeli dostępności</w:t>
            </w:r>
            <w:r w:rsidR="00B81D3B">
              <w:rPr>
                <w:rFonts w:ascii="Arial" w:hAnsi="Arial" w:cs="Arial"/>
                <w:sz w:val="24"/>
                <w:szCs w:val="24"/>
              </w:rPr>
              <w:t xml:space="preserve"> </w:t>
            </w:r>
            <w:r w:rsidR="00B81D3B" w:rsidRPr="00B81D3B">
              <w:rPr>
                <w:rFonts w:ascii="Arial" w:hAnsi="Arial" w:cs="Arial"/>
                <w:sz w:val="24"/>
                <w:szCs w:val="24"/>
              </w:rPr>
              <w:t>oraz skonsultowanie opracowanego MDS z ekspertami zewnętrznymi i właściwymi interesariuszami</w:t>
            </w:r>
            <w:r w:rsidR="001105A5">
              <w:rPr>
                <w:rFonts w:ascii="Arial" w:hAnsi="Arial" w:cs="Arial"/>
                <w:sz w:val="24"/>
                <w:szCs w:val="24"/>
              </w:rPr>
              <w:t>, w tym Radą Dostępności,</w:t>
            </w:r>
            <w:r w:rsidR="00B81D3B">
              <w:rPr>
                <w:rFonts w:ascii="Arial" w:hAnsi="Arial" w:cs="Arial"/>
                <w:sz w:val="24"/>
                <w:szCs w:val="24"/>
              </w:rPr>
              <w:t xml:space="preserve"> </w:t>
            </w:r>
          </w:p>
          <w:p w14:paraId="713BCCDE" w14:textId="77777777" w:rsidR="00B75F78" w:rsidRPr="00B75F78" w:rsidRDefault="00B75F78" w:rsidP="00B75F78">
            <w:pPr>
              <w:numPr>
                <w:ilvl w:val="0"/>
                <w:numId w:val="37"/>
              </w:numPr>
              <w:spacing w:before="120" w:after="120" w:line="360" w:lineRule="auto"/>
              <w:rPr>
                <w:rFonts w:ascii="Arial" w:hAnsi="Arial" w:cs="Arial"/>
                <w:sz w:val="24"/>
                <w:szCs w:val="24"/>
              </w:rPr>
            </w:pPr>
            <w:proofErr w:type="gramStart"/>
            <w:r w:rsidRPr="00B75F78">
              <w:rPr>
                <w:rFonts w:ascii="Arial" w:hAnsi="Arial" w:cs="Arial"/>
                <w:sz w:val="24"/>
                <w:szCs w:val="24"/>
              </w:rPr>
              <w:t>opracowanie</w:t>
            </w:r>
            <w:proofErr w:type="gramEnd"/>
            <w:r w:rsidRPr="00B75F78">
              <w:rPr>
                <w:rFonts w:ascii="Arial" w:hAnsi="Arial" w:cs="Arial"/>
                <w:sz w:val="24"/>
                <w:szCs w:val="24"/>
              </w:rPr>
              <w:t xml:space="preserve"> odrębnych ram programowych szkoleń dla wszystkich grup docelowych uwzględniających specyfikę pracy, wykonywane zadania, role w instytucji oraz odpowiedzialność za wdrożenie założeń projektu,</w:t>
            </w:r>
          </w:p>
          <w:p w14:paraId="1E2F5158" w14:textId="77777777" w:rsidR="00B75F78" w:rsidRPr="00B75F78" w:rsidRDefault="00B75F78" w:rsidP="00B75F78">
            <w:pPr>
              <w:spacing w:before="120" w:after="120" w:line="360" w:lineRule="auto"/>
              <w:ind w:left="324"/>
              <w:rPr>
                <w:rFonts w:ascii="Arial" w:hAnsi="Arial" w:cs="Arial"/>
                <w:sz w:val="24"/>
                <w:szCs w:val="24"/>
              </w:rPr>
            </w:pPr>
            <w:r w:rsidRPr="00B75F78">
              <w:rPr>
                <w:rFonts w:ascii="Arial" w:hAnsi="Arial" w:cs="Arial"/>
                <w:sz w:val="24"/>
                <w:szCs w:val="24"/>
              </w:rPr>
              <w:t xml:space="preserve">Termin: I kwartał 2021, szacunkowy koszt – 1% udziału w kosztach ogółem, 350.000 </w:t>
            </w:r>
            <w:proofErr w:type="gramStart"/>
            <w:r w:rsidRPr="00B75F78">
              <w:rPr>
                <w:rFonts w:ascii="Arial" w:hAnsi="Arial" w:cs="Arial"/>
                <w:sz w:val="24"/>
                <w:szCs w:val="24"/>
              </w:rPr>
              <w:t>zł</w:t>
            </w:r>
            <w:proofErr w:type="gramEnd"/>
          </w:p>
          <w:p w14:paraId="185057A4" w14:textId="77777777" w:rsidR="00B75F78" w:rsidRPr="00B75F78" w:rsidRDefault="00B75F78" w:rsidP="00B75F78">
            <w:pPr>
              <w:numPr>
                <w:ilvl w:val="0"/>
                <w:numId w:val="34"/>
              </w:numPr>
              <w:spacing w:after="160" w:line="360" w:lineRule="auto"/>
              <w:contextualSpacing/>
              <w:rPr>
                <w:rFonts w:ascii="Arial" w:hAnsi="Arial" w:cs="Arial"/>
                <w:b/>
                <w:bCs/>
                <w:sz w:val="24"/>
                <w:szCs w:val="24"/>
              </w:rPr>
            </w:pPr>
            <w:r w:rsidRPr="00B75F78">
              <w:rPr>
                <w:rFonts w:ascii="Arial" w:hAnsi="Arial" w:cs="Arial"/>
                <w:b/>
                <w:bCs/>
                <w:sz w:val="24"/>
                <w:szCs w:val="24"/>
              </w:rPr>
              <w:t>Wyłonienie 35 sądów do doposażenia w urządzenia oraz przeprowadzenia prac modernizacyjnych i adaptacji architektonicznych:</w:t>
            </w:r>
          </w:p>
          <w:p w14:paraId="5D3EEAAB" w14:textId="77777777" w:rsidR="00B75F78" w:rsidRPr="00B75F78" w:rsidRDefault="00B75F78" w:rsidP="00B75F78">
            <w:pPr>
              <w:spacing w:after="160" w:line="360" w:lineRule="auto"/>
              <w:ind w:left="720"/>
              <w:contextualSpacing/>
              <w:rPr>
                <w:rFonts w:ascii="Arial" w:hAnsi="Arial" w:cs="Arial"/>
                <w:sz w:val="24"/>
                <w:szCs w:val="24"/>
              </w:rPr>
            </w:pPr>
            <w:r w:rsidRPr="00B75F78">
              <w:rPr>
                <w:rFonts w:ascii="Arial" w:hAnsi="Arial" w:cs="Arial"/>
                <w:sz w:val="24"/>
                <w:szCs w:val="24"/>
              </w:rPr>
              <w:t>- przeprowadzenie przez Sądy Apelacyjne analizy podległych jednostek pod kątem dostępności dla osób z niepełnosprawnościami z wykorzystaniem ankiety opracowanej przez Zespół Doradczy,</w:t>
            </w:r>
          </w:p>
          <w:p w14:paraId="51BD95E2" w14:textId="77777777" w:rsidR="00B75F78" w:rsidRPr="00B75F78" w:rsidRDefault="00B75F78" w:rsidP="00B75F78">
            <w:pPr>
              <w:spacing w:after="160" w:line="360" w:lineRule="auto"/>
              <w:ind w:left="720"/>
              <w:contextualSpacing/>
              <w:rPr>
                <w:rFonts w:ascii="Arial" w:hAnsi="Arial" w:cs="Arial"/>
                <w:sz w:val="24"/>
                <w:szCs w:val="24"/>
              </w:rPr>
            </w:pPr>
            <w:r w:rsidRPr="00B75F78">
              <w:rPr>
                <w:rFonts w:ascii="Arial" w:hAnsi="Arial" w:cs="Arial"/>
                <w:sz w:val="24"/>
                <w:szCs w:val="24"/>
              </w:rPr>
              <w:t xml:space="preserve">- wskazanie przez Sądy Apelacyjne 55 sądów (po 5 sądów z każdej apelacji) wymagających najpilniej wsparcia w </w:t>
            </w:r>
            <w:r w:rsidRPr="00B75F78">
              <w:rPr>
                <w:rFonts w:ascii="Arial" w:hAnsi="Arial" w:cs="Arial"/>
                <w:sz w:val="24"/>
                <w:szCs w:val="24"/>
              </w:rPr>
              <w:lastRenderedPageBreak/>
              <w:t>procesie dostosowania swojej dostępności dla osób z niepełnosprawnościami,</w:t>
            </w:r>
          </w:p>
          <w:p w14:paraId="712BF14A" w14:textId="77777777" w:rsidR="00B75F78" w:rsidRPr="00B75F78" w:rsidRDefault="00B75F78" w:rsidP="00B75F78">
            <w:pPr>
              <w:spacing w:after="160" w:line="360" w:lineRule="auto"/>
              <w:ind w:left="720"/>
              <w:contextualSpacing/>
              <w:rPr>
                <w:rFonts w:ascii="Arial" w:hAnsi="Arial" w:cs="Arial"/>
                <w:sz w:val="24"/>
                <w:szCs w:val="24"/>
              </w:rPr>
            </w:pPr>
            <w:r w:rsidRPr="00B75F78">
              <w:rPr>
                <w:rFonts w:ascii="Arial" w:hAnsi="Arial" w:cs="Arial"/>
                <w:sz w:val="24"/>
                <w:szCs w:val="24"/>
              </w:rPr>
              <w:t>- przeprowadzenie w sądach rekomendowanych przez Sądy Apelacyjne audytu zewnętrznego pod kątem dostępności,</w:t>
            </w:r>
          </w:p>
          <w:p w14:paraId="3DD49D31" w14:textId="77777777" w:rsidR="00B75F78" w:rsidRPr="00B75F78" w:rsidRDefault="00B75F78" w:rsidP="00B75F78">
            <w:pPr>
              <w:spacing w:after="160" w:line="360" w:lineRule="auto"/>
              <w:ind w:left="720"/>
              <w:contextualSpacing/>
              <w:rPr>
                <w:rFonts w:ascii="Arial" w:hAnsi="Arial" w:cs="Arial"/>
                <w:sz w:val="24"/>
                <w:szCs w:val="24"/>
              </w:rPr>
            </w:pPr>
            <w:r w:rsidRPr="00B75F78">
              <w:rPr>
                <w:rFonts w:ascii="Arial" w:hAnsi="Arial" w:cs="Arial"/>
                <w:sz w:val="24"/>
                <w:szCs w:val="24"/>
              </w:rPr>
              <w:t>- na podstawie rekomendacji Sądów Apelacyjnych i wyników audytu oraz założeń Modelu Dostępnego Sądu wybór przez Zespół Doradczy 35 sądów do udziału w projekcie.</w:t>
            </w:r>
          </w:p>
          <w:p w14:paraId="209F3DA4" w14:textId="77777777" w:rsidR="00B75F78" w:rsidRPr="00B75F78" w:rsidRDefault="00B75F78" w:rsidP="00B75F78">
            <w:pPr>
              <w:spacing w:before="120" w:after="120" w:line="360" w:lineRule="auto"/>
              <w:ind w:left="324"/>
              <w:rPr>
                <w:rFonts w:ascii="Arial" w:hAnsi="Arial" w:cs="Arial"/>
                <w:sz w:val="24"/>
                <w:szCs w:val="24"/>
              </w:rPr>
            </w:pPr>
            <w:r w:rsidRPr="00B75F78">
              <w:rPr>
                <w:rFonts w:ascii="Arial" w:hAnsi="Arial" w:cs="Arial"/>
                <w:sz w:val="24"/>
                <w:szCs w:val="24"/>
              </w:rPr>
              <w:t xml:space="preserve">Termin: II kwartał 2021, szacunkowy koszt – 0,5% udziału w kosztach ogółem, 175.000 </w:t>
            </w:r>
            <w:proofErr w:type="gramStart"/>
            <w:r w:rsidRPr="00B75F78">
              <w:rPr>
                <w:rFonts w:ascii="Arial" w:hAnsi="Arial" w:cs="Arial"/>
                <w:sz w:val="24"/>
                <w:szCs w:val="24"/>
              </w:rPr>
              <w:t>zł</w:t>
            </w:r>
            <w:proofErr w:type="gramEnd"/>
          </w:p>
          <w:p w14:paraId="180C7214" w14:textId="77777777" w:rsidR="00B75F78" w:rsidRPr="00B75F78" w:rsidRDefault="00B75F78" w:rsidP="00B75F78">
            <w:pPr>
              <w:numPr>
                <w:ilvl w:val="0"/>
                <w:numId w:val="34"/>
              </w:numPr>
              <w:spacing w:after="160" w:line="360" w:lineRule="auto"/>
              <w:contextualSpacing/>
              <w:rPr>
                <w:rFonts w:ascii="Arial" w:hAnsi="Arial" w:cs="Arial"/>
                <w:b/>
                <w:bCs/>
                <w:sz w:val="24"/>
                <w:szCs w:val="24"/>
              </w:rPr>
            </w:pPr>
            <w:r w:rsidRPr="00B75F78">
              <w:rPr>
                <w:rFonts w:ascii="Arial" w:hAnsi="Arial" w:cs="Arial"/>
                <w:b/>
                <w:bCs/>
                <w:sz w:val="24"/>
                <w:szCs w:val="24"/>
              </w:rPr>
              <w:t>Doposażenie wybranych sądów:</w:t>
            </w:r>
          </w:p>
          <w:p w14:paraId="30813744" w14:textId="77777777" w:rsidR="00F232AF" w:rsidRDefault="00B75F78" w:rsidP="00B75F78">
            <w:pPr>
              <w:spacing w:after="160" w:line="360" w:lineRule="auto"/>
              <w:ind w:left="720"/>
              <w:contextualSpacing/>
              <w:rPr>
                <w:rFonts w:ascii="Arial" w:hAnsi="Arial" w:cs="Arial"/>
                <w:sz w:val="24"/>
                <w:szCs w:val="24"/>
              </w:rPr>
            </w:pPr>
            <w:r w:rsidRPr="00B75F78">
              <w:rPr>
                <w:rFonts w:ascii="Arial" w:hAnsi="Arial" w:cs="Arial"/>
                <w:sz w:val="24"/>
                <w:szCs w:val="24"/>
              </w:rPr>
              <w:t xml:space="preserve">- </w:t>
            </w:r>
            <w:r w:rsidR="001105A5">
              <w:rPr>
                <w:rFonts w:ascii="Arial" w:hAnsi="Arial" w:cs="Arial"/>
                <w:sz w:val="24"/>
                <w:szCs w:val="24"/>
              </w:rPr>
              <w:t xml:space="preserve">zapewnienie </w:t>
            </w:r>
            <w:r w:rsidR="00024BC2">
              <w:rPr>
                <w:rFonts w:ascii="Arial" w:hAnsi="Arial" w:cs="Arial"/>
                <w:sz w:val="24"/>
                <w:szCs w:val="24"/>
              </w:rPr>
              <w:t xml:space="preserve">sądom </w:t>
            </w:r>
            <w:r w:rsidR="001105A5">
              <w:rPr>
                <w:rFonts w:ascii="Arial" w:hAnsi="Arial" w:cs="Arial"/>
                <w:sz w:val="24"/>
                <w:szCs w:val="24"/>
              </w:rPr>
              <w:t>wsparcia doradczego</w:t>
            </w:r>
            <w:r w:rsidR="00F232AF">
              <w:rPr>
                <w:rFonts w:ascii="Arial" w:hAnsi="Arial" w:cs="Arial"/>
                <w:sz w:val="24"/>
                <w:szCs w:val="24"/>
              </w:rPr>
              <w:t xml:space="preserve"> na każdym etapie wdrażania Modelu Dostępnego Sądu,</w:t>
            </w:r>
          </w:p>
          <w:p w14:paraId="683208E9" w14:textId="77777777" w:rsidR="00B75F78" w:rsidRPr="00B75F78" w:rsidRDefault="00F232AF" w:rsidP="00B75F78">
            <w:pPr>
              <w:spacing w:after="160" w:line="360" w:lineRule="auto"/>
              <w:ind w:left="720"/>
              <w:contextualSpacing/>
              <w:rPr>
                <w:rFonts w:ascii="Arial" w:hAnsi="Arial" w:cs="Arial"/>
                <w:sz w:val="24"/>
                <w:szCs w:val="24"/>
              </w:rPr>
            </w:pPr>
            <w:r>
              <w:rPr>
                <w:rFonts w:ascii="Arial" w:hAnsi="Arial" w:cs="Arial"/>
                <w:sz w:val="24"/>
                <w:szCs w:val="24"/>
              </w:rPr>
              <w:t xml:space="preserve">- </w:t>
            </w:r>
            <w:r w:rsidR="00B75F78" w:rsidRPr="00B75F78">
              <w:rPr>
                <w:rFonts w:ascii="Arial" w:hAnsi="Arial" w:cs="Arial"/>
                <w:sz w:val="24"/>
                <w:szCs w:val="24"/>
              </w:rPr>
              <w:t xml:space="preserve">ustalenie na podstawie rekomendacji z przeprowadzonych audytów </w:t>
            </w:r>
            <w:proofErr w:type="gramStart"/>
            <w:r w:rsidR="00B75F78" w:rsidRPr="00B75F78">
              <w:rPr>
                <w:rFonts w:ascii="Arial" w:hAnsi="Arial" w:cs="Arial"/>
                <w:sz w:val="24"/>
                <w:szCs w:val="24"/>
              </w:rPr>
              <w:t>dostępności  listy</w:t>
            </w:r>
            <w:proofErr w:type="gramEnd"/>
            <w:r w:rsidR="00B75F78" w:rsidRPr="00B75F78">
              <w:rPr>
                <w:rFonts w:ascii="Arial" w:hAnsi="Arial" w:cs="Arial"/>
                <w:sz w:val="24"/>
                <w:szCs w:val="24"/>
              </w:rPr>
              <w:t xml:space="preserve"> zakupów i prac do wykonania w każdym sądzie biorącym udział w projekcie (35),</w:t>
            </w:r>
          </w:p>
          <w:p w14:paraId="628CD159" w14:textId="77777777" w:rsidR="00B75F78" w:rsidRPr="00B75F78" w:rsidRDefault="00B75F78" w:rsidP="00B75F78">
            <w:pPr>
              <w:spacing w:after="160" w:line="360" w:lineRule="auto"/>
              <w:ind w:left="720"/>
              <w:contextualSpacing/>
              <w:rPr>
                <w:rFonts w:ascii="Arial" w:hAnsi="Arial" w:cs="Arial"/>
                <w:sz w:val="24"/>
                <w:szCs w:val="24"/>
              </w:rPr>
            </w:pPr>
            <w:r w:rsidRPr="00B75F78">
              <w:rPr>
                <w:rFonts w:ascii="Arial" w:hAnsi="Arial" w:cs="Arial"/>
                <w:sz w:val="24"/>
                <w:szCs w:val="24"/>
              </w:rPr>
              <w:t>- ogłoszenie i przeprowadzenie odrębnych postępowań przetargowych na zakup urządzeń i prace adaptacyjno-budowlane w każdym sądzie biorącym udział w projekcie (35), każda procedura przetargowa jest organizowana i prowadzona indywidualnie oraz odrębnie przez każdy Sąd w zakresie i po ustaleniu konkretnych potrzeb danego Sądu,</w:t>
            </w:r>
          </w:p>
          <w:p w14:paraId="4F482317" w14:textId="77777777" w:rsidR="00B75F78" w:rsidRPr="00B75F78" w:rsidRDefault="00B75F78" w:rsidP="00B75F78">
            <w:pPr>
              <w:spacing w:after="160" w:line="360" w:lineRule="auto"/>
              <w:ind w:left="720"/>
              <w:contextualSpacing/>
              <w:rPr>
                <w:rFonts w:ascii="Arial" w:hAnsi="Arial" w:cs="Arial"/>
                <w:sz w:val="24"/>
                <w:szCs w:val="24"/>
              </w:rPr>
            </w:pPr>
            <w:r w:rsidRPr="00B75F78">
              <w:rPr>
                <w:rFonts w:ascii="Arial" w:hAnsi="Arial" w:cs="Arial"/>
                <w:sz w:val="24"/>
                <w:szCs w:val="24"/>
              </w:rPr>
              <w:t>- instalacja urządzeń oraz przeprowadzenie prac adaptacyjno-budowlanych w sądach,</w:t>
            </w:r>
          </w:p>
          <w:p w14:paraId="1D770871" w14:textId="77777777" w:rsidR="00B75F78" w:rsidRPr="00B75F78" w:rsidRDefault="00B75F78" w:rsidP="00B75F78">
            <w:pPr>
              <w:spacing w:after="160" w:line="360" w:lineRule="auto"/>
              <w:ind w:left="720"/>
              <w:contextualSpacing/>
              <w:rPr>
                <w:rFonts w:ascii="Arial" w:hAnsi="Arial" w:cs="Arial"/>
                <w:sz w:val="24"/>
                <w:szCs w:val="24"/>
              </w:rPr>
            </w:pPr>
            <w:r w:rsidRPr="00B75F78">
              <w:rPr>
                <w:rFonts w:ascii="Arial" w:hAnsi="Arial" w:cs="Arial"/>
                <w:sz w:val="24"/>
                <w:szCs w:val="24"/>
              </w:rPr>
              <w:t>- kontrola przeprowadzonej procedury zakupowej,</w:t>
            </w:r>
          </w:p>
          <w:p w14:paraId="7A8B9DC8" w14:textId="77777777" w:rsidR="00B75F78" w:rsidRPr="00B75F78" w:rsidRDefault="00B75F78" w:rsidP="00B75F78">
            <w:pPr>
              <w:spacing w:after="160" w:line="360" w:lineRule="auto"/>
              <w:ind w:left="720"/>
              <w:contextualSpacing/>
              <w:rPr>
                <w:rFonts w:ascii="Arial" w:hAnsi="Arial" w:cs="Arial"/>
                <w:sz w:val="24"/>
                <w:szCs w:val="24"/>
              </w:rPr>
            </w:pPr>
            <w:r w:rsidRPr="00B75F78">
              <w:rPr>
                <w:rFonts w:ascii="Arial" w:hAnsi="Arial" w:cs="Arial"/>
                <w:sz w:val="24"/>
                <w:szCs w:val="24"/>
              </w:rPr>
              <w:t>- rozliczenia przedłożonych faktur,</w:t>
            </w:r>
          </w:p>
          <w:p w14:paraId="5930ED7A" w14:textId="77777777" w:rsidR="00B75F78" w:rsidRPr="00B75F78" w:rsidRDefault="00B75F78" w:rsidP="00B75F78">
            <w:pPr>
              <w:spacing w:after="160" w:line="360" w:lineRule="auto"/>
              <w:ind w:left="720"/>
              <w:contextualSpacing/>
              <w:rPr>
                <w:rFonts w:ascii="Arial" w:hAnsi="Arial" w:cs="Arial"/>
                <w:sz w:val="24"/>
                <w:szCs w:val="24"/>
              </w:rPr>
            </w:pPr>
            <w:r w:rsidRPr="00B75F78">
              <w:rPr>
                <w:rFonts w:ascii="Arial" w:hAnsi="Arial" w:cs="Arial"/>
                <w:sz w:val="24"/>
                <w:szCs w:val="24"/>
              </w:rPr>
              <w:t>- przeprowadzenie audytu końcowego w każdym z 35 sądów, w celu oceny poprawności dokonanych rozliczeń oraz oceny stopnia realizacji i osiągnięcia mierników (audyt faktycznej dostępności).</w:t>
            </w:r>
          </w:p>
          <w:p w14:paraId="451349D8" w14:textId="77777777" w:rsidR="00B75F78" w:rsidRPr="00B75F78" w:rsidRDefault="00B75F78" w:rsidP="00B75F78">
            <w:pPr>
              <w:spacing w:before="120" w:after="120" w:line="360" w:lineRule="auto"/>
              <w:ind w:left="324"/>
              <w:rPr>
                <w:rFonts w:ascii="Arial" w:hAnsi="Arial" w:cs="Arial"/>
                <w:sz w:val="24"/>
                <w:szCs w:val="24"/>
              </w:rPr>
            </w:pPr>
            <w:r w:rsidRPr="00B75F78">
              <w:rPr>
                <w:rFonts w:ascii="Arial" w:hAnsi="Arial" w:cs="Arial"/>
                <w:sz w:val="24"/>
                <w:szCs w:val="24"/>
              </w:rPr>
              <w:t xml:space="preserve">Termin: IV kwartał 2022, szacunkowy koszt – 62,7% udziału w kosztach ogółem, 21.945.000 </w:t>
            </w:r>
            <w:proofErr w:type="gramStart"/>
            <w:r w:rsidRPr="00B75F78">
              <w:rPr>
                <w:rFonts w:ascii="Arial" w:hAnsi="Arial" w:cs="Arial"/>
                <w:sz w:val="24"/>
                <w:szCs w:val="24"/>
              </w:rPr>
              <w:t>zł</w:t>
            </w:r>
            <w:proofErr w:type="gramEnd"/>
          </w:p>
          <w:p w14:paraId="1004CC39" w14:textId="77777777" w:rsidR="00B75F78" w:rsidRPr="00B75F78" w:rsidRDefault="00B75F78" w:rsidP="00B75F78">
            <w:pPr>
              <w:numPr>
                <w:ilvl w:val="0"/>
                <w:numId w:val="34"/>
              </w:numPr>
              <w:spacing w:after="160" w:line="360" w:lineRule="auto"/>
              <w:contextualSpacing/>
              <w:rPr>
                <w:rFonts w:ascii="Arial" w:hAnsi="Arial" w:cs="Arial"/>
                <w:b/>
                <w:bCs/>
                <w:sz w:val="24"/>
                <w:szCs w:val="24"/>
              </w:rPr>
            </w:pPr>
            <w:bookmarkStart w:id="2" w:name="_Hlk41480408"/>
            <w:r w:rsidRPr="00B75F78">
              <w:rPr>
                <w:rFonts w:ascii="Arial" w:hAnsi="Arial" w:cs="Arial"/>
                <w:b/>
                <w:bCs/>
                <w:sz w:val="24"/>
                <w:szCs w:val="24"/>
              </w:rPr>
              <w:t>Przeprowadzenie szkoleń:</w:t>
            </w:r>
          </w:p>
          <w:p w14:paraId="231B57A3" w14:textId="77777777" w:rsidR="00B75F78" w:rsidRPr="00B75F78" w:rsidRDefault="00B75F78" w:rsidP="00B75F78">
            <w:pPr>
              <w:numPr>
                <w:ilvl w:val="0"/>
                <w:numId w:val="33"/>
              </w:numPr>
              <w:spacing w:after="160" w:line="360" w:lineRule="auto"/>
              <w:contextualSpacing/>
              <w:rPr>
                <w:rFonts w:ascii="Arial" w:hAnsi="Arial" w:cs="Arial"/>
                <w:b/>
                <w:bCs/>
                <w:sz w:val="24"/>
                <w:szCs w:val="24"/>
              </w:rPr>
            </w:pPr>
            <w:r w:rsidRPr="00B75F78">
              <w:rPr>
                <w:rFonts w:ascii="Arial" w:hAnsi="Arial" w:cs="Arial"/>
                <w:sz w:val="24"/>
                <w:szCs w:val="24"/>
              </w:rPr>
              <w:t xml:space="preserve">Dla koordynatorów dostępności ustanowionych w </w:t>
            </w:r>
            <w:r w:rsidRPr="00B75F78">
              <w:rPr>
                <w:rFonts w:ascii="Arial" w:hAnsi="Arial" w:cs="Arial"/>
                <w:sz w:val="24"/>
                <w:szCs w:val="24"/>
              </w:rPr>
              <w:lastRenderedPageBreak/>
              <w:t xml:space="preserve">sądach – ok. 300 osób, planowany koszt 1.050.000 </w:t>
            </w:r>
            <w:proofErr w:type="gramStart"/>
            <w:r w:rsidRPr="00B75F78">
              <w:rPr>
                <w:rFonts w:ascii="Arial" w:hAnsi="Arial" w:cs="Arial"/>
                <w:sz w:val="24"/>
                <w:szCs w:val="24"/>
              </w:rPr>
              <w:t>zł</w:t>
            </w:r>
            <w:proofErr w:type="gramEnd"/>
          </w:p>
          <w:p w14:paraId="6AFDD324" w14:textId="77777777" w:rsidR="00B75F78" w:rsidRPr="00B75F78" w:rsidRDefault="00B75F78" w:rsidP="00B75F78">
            <w:pPr>
              <w:numPr>
                <w:ilvl w:val="0"/>
                <w:numId w:val="33"/>
              </w:numPr>
              <w:spacing w:after="160" w:line="360" w:lineRule="auto"/>
              <w:contextualSpacing/>
              <w:rPr>
                <w:rFonts w:ascii="Arial" w:hAnsi="Arial" w:cs="Arial"/>
                <w:sz w:val="24"/>
                <w:szCs w:val="24"/>
              </w:rPr>
            </w:pPr>
            <w:r w:rsidRPr="00B75F78">
              <w:rPr>
                <w:rFonts w:ascii="Arial" w:hAnsi="Arial" w:cs="Arial"/>
                <w:sz w:val="24"/>
                <w:szCs w:val="24"/>
              </w:rPr>
              <w:t xml:space="preserve">Dla Prezesów/Zastępców Prezesów sądów – ok. 300 osób, planowany koszt 1.050.000 </w:t>
            </w:r>
            <w:proofErr w:type="gramStart"/>
            <w:r w:rsidRPr="00B75F78">
              <w:rPr>
                <w:rFonts w:ascii="Arial" w:hAnsi="Arial" w:cs="Arial"/>
                <w:sz w:val="24"/>
                <w:szCs w:val="24"/>
              </w:rPr>
              <w:t>zł</w:t>
            </w:r>
            <w:proofErr w:type="gramEnd"/>
          </w:p>
          <w:p w14:paraId="2699FE7F" w14:textId="77777777" w:rsidR="00B75F78" w:rsidRPr="00B75F78" w:rsidRDefault="00B75F78" w:rsidP="00B75F78">
            <w:pPr>
              <w:numPr>
                <w:ilvl w:val="0"/>
                <w:numId w:val="33"/>
              </w:numPr>
              <w:spacing w:after="160" w:line="360" w:lineRule="auto"/>
              <w:contextualSpacing/>
              <w:rPr>
                <w:rFonts w:ascii="Arial" w:hAnsi="Arial" w:cs="Arial"/>
                <w:sz w:val="24"/>
                <w:szCs w:val="24"/>
              </w:rPr>
            </w:pPr>
            <w:r w:rsidRPr="00B75F78">
              <w:rPr>
                <w:rFonts w:ascii="Arial" w:hAnsi="Arial" w:cs="Arial"/>
                <w:sz w:val="24"/>
                <w:szCs w:val="24"/>
              </w:rPr>
              <w:t xml:space="preserve">Dla Sędziów, Referendarzy sądowych, </w:t>
            </w:r>
            <w:proofErr w:type="gramStart"/>
            <w:r w:rsidRPr="00B75F78">
              <w:rPr>
                <w:rFonts w:ascii="Arial" w:hAnsi="Arial" w:cs="Arial"/>
                <w:sz w:val="24"/>
                <w:szCs w:val="24"/>
              </w:rPr>
              <w:t>Asesorów</w:t>
            </w:r>
            <w:proofErr w:type="gramEnd"/>
            <w:r w:rsidRPr="00B75F78">
              <w:rPr>
                <w:rFonts w:ascii="Arial" w:hAnsi="Arial" w:cs="Arial"/>
                <w:sz w:val="24"/>
                <w:szCs w:val="24"/>
              </w:rPr>
              <w:t xml:space="preserve">, Asystentów sędziego – ok. 1500 osób, planowany koszt 5.250.000 </w:t>
            </w:r>
            <w:proofErr w:type="gramStart"/>
            <w:r w:rsidRPr="00B75F78">
              <w:rPr>
                <w:rFonts w:ascii="Arial" w:hAnsi="Arial" w:cs="Arial"/>
                <w:sz w:val="24"/>
                <w:szCs w:val="24"/>
              </w:rPr>
              <w:t>zł</w:t>
            </w:r>
            <w:proofErr w:type="gramEnd"/>
          </w:p>
          <w:p w14:paraId="7CC50FB2" w14:textId="77777777" w:rsidR="00B75F78" w:rsidRPr="00B75F78" w:rsidRDefault="00B75F78" w:rsidP="00B75F78">
            <w:pPr>
              <w:numPr>
                <w:ilvl w:val="0"/>
                <w:numId w:val="33"/>
              </w:numPr>
              <w:spacing w:after="160" w:line="360" w:lineRule="auto"/>
              <w:contextualSpacing/>
              <w:rPr>
                <w:rFonts w:ascii="Arial" w:hAnsi="Arial" w:cs="Arial"/>
                <w:sz w:val="24"/>
                <w:szCs w:val="24"/>
              </w:rPr>
            </w:pPr>
            <w:r w:rsidRPr="00B75F78">
              <w:rPr>
                <w:rFonts w:ascii="Arial" w:hAnsi="Arial" w:cs="Arial"/>
                <w:sz w:val="24"/>
                <w:szCs w:val="24"/>
              </w:rPr>
              <w:t xml:space="preserve">Dla pracowników administracyjnych w sądach – ok. 1000 osób, planowany koszt 3.500.000 </w:t>
            </w:r>
            <w:proofErr w:type="gramStart"/>
            <w:r w:rsidRPr="00B75F78">
              <w:rPr>
                <w:rFonts w:ascii="Arial" w:hAnsi="Arial" w:cs="Arial"/>
                <w:sz w:val="24"/>
                <w:szCs w:val="24"/>
              </w:rPr>
              <w:t>zł</w:t>
            </w:r>
            <w:proofErr w:type="gramEnd"/>
          </w:p>
          <w:p w14:paraId="2EF81D65" w14:textId="77777777" w:rsidR="00B75F78" w:rsidRPr="00B75F78" w:rsidRDefault="00B75F78" w:rsidP="00B75F78">
            <w:pPr>
              <w:numPr>
                <w:ilvl w:val="0"/>
                <w:numId w:val="33"/>
              </w:numPr>
              <w:spacing w:after="160" w:line="360" w:lineRule="auto"/>
              <w:contextualSpacing/>
              <w:rPr>
                <w:rFonts w:ascii="Arial" w:hAnsi="Arial" w:cs="Arial"/>
                <w:sz w:val="24"/>
                <w:szCs w:val="24"/>
              </w:rPr>
            </w:pPr>
            <w:r w:rsidRPr="00B75F78">
              <w:rPr>
                <w:rFonts w:ascii="Arial" w:hAnsi="Arial" w:cs="Arial"/>
                <w:sz w:val="24"/>
                <w:szCs w:val="24"/>
              </w:rPr>
              <w:t xml:space="preserve">Dla wybranych pracowników w sądach, pełniących funkcję osoby wspierającej osoby z niepełnosprawnością – ok. 300 osób, planowany koszt 1.050.000 </w:t>
            </w:r>
            <w:proofErr w:type="gramStart"/>
            <w:r w:rsidRPr="00B75F78">
              <w:rPr>
                <w:rFonts w:ascii="Arial" w:hAnsi="Arial" w:cs="Arial"/>
                <w:sz w:val="24"/>
                <w:szCs w:val="24"/>
              </w:rPr>
              <w:t>zł</w:t>
            </w:r>
            <w:proofErr w:type="gramEnd"/>
          </w:p>
          <w:p w14:paraId="7F8C7DBC" w14:textId="77777777" w:rsidR="00B75F78" w:rsidRPr="00B75F78" w:rsidRDefault="00B75F78" w:rsidP="00B75F78">
            <w:pPr>
              <w:numPr>
                <w:ilvl w:val="0"/>
                <w:numId w:val="33"/>
              </w:numPr>
              <w:spacing w:after="160" w:line="360" w:lineRule="auto"/>
              <w:contextualSpacing/>
              <w:rPr>
                <w:rFonts w:ascii="Arial" w:hAnsi="Arial" w:cs="Arial"/>
                <w:sz w:val="24"/>
                <w:szCs w:val="24"/>
              </w:rPr>
            </w:pPr>
            <w:r w:rsidRPr="00B75F78">
              <w:rPr>
                <w:rFonts w:ascii="Arial" w:hAnsi="Arial" w:cs="Arial"/>
                <w:sz w:val="24"/>
                <w:szCs w:val="24"/>
              </w:rPr>
              <w:t xml:space="preserve">Dla przedstawicieli zawodów prawniczych – Kierowników szkoleń/Dziekanów w Izbach i Radach – ok. 100 osób, planowany koszt 350.000 </w:t>
            </w:r>
            <w:proofErr w:type="gramStart"/>
            <w:r w:rsidRPr="00B75F78">
              <w:rPr>
                <w:rFonts w:ascii="Arial" w:hAnsi="Arial" w:cs="Arial"/>
                <w:sz w:val="24"/>
                <w:szCs w:val="24"/>
              </w:rPr>
              <w:t>zł</w:t>
            </w:r>
            <w:proofErr w:type="gramEnd"/>
          </w:p>
          <w:bookmarkEnd w:id="2"/>
          <w:p w14:paraId="4BC09187" w14:textId="77777777" w:rsidR="00B75F78" w:rsidRPr="00B75F78" w:rsidRDefault="00B75F78" w:rsidP="00B75F78">
            <w:pPr>
              <w:spacing w:before="120" w:after="120" w:line="360" w:lineRule="auto"/>
              <w:ind w:left="324"/>
              <w:rPr>
                <w:rFonts w:ascii="Arial" w:hAnsi="Arial" w:cs="Arial"/>
                <w:sz w:val="24"/>
                <w:szCs w:val="24"/>
              </w:rPr>
            </w:pPr>
            <w:r w:rsidRPr="00B75F78">
              <w:rPr>
                <w:rFonts w:ascii="Arial" w:hAnsi="Arial" w:cs="Arial"/>
                <w:sz w:val="24"/>
                <w:szCs w:val="24"/>
              </w:rPr>
              <w:t xml:space="preserve">Termin: do końca II kwartału 2023, szacunkowy koszt – 35% udziału w kosztach ogółem, 12.250.000 </w:t>
            </w:r>
            <w:proofErr w:type="gramStart"/>
            <w:r w:rsidRPr="00B75F78">
              <w:rPr>
                <w:rFonts w:ascii="Arial" w:hAnsi="Arial" w:cs="Arial"/>
                <w:sz w:val="24"/>
                <w:szCs w:val="24"/>
              </w:rPr>
              <w:t>zł</w:t>
            </w:r>
            <w:proofErr w:type="gramEnd"/>
          </w:p>
          <w:p w14:paraId="359BC82D" w14:textId="77777777" w:rsidR="00B75F78" w:rsidRPr="00B75F78" w:rsidRDefault="00B75F78" w:rsidP="00B75F78">
            <w:pPr>
              <w:numPr>
                <w:ilvl w:val="0"/>
                <w:numId w:val="34"/>
              </w:numPr>
              <w:spacing w:after="160" w:line="360" w:lineRule="auto"/>
              <w:rPr>
                <w:rFonts w:ascii="Arial" w:hAnsi="Arial" w:cs="Arial"/>
                <w:b/>
                <w:bCs/>
                <w:sz w:val="24"/>
                <w:szCs w:val="24"/>
              </w:rPr>
            </w:pPr>
            <w:r w:rsidRPr="00B75F78">
              <w:rPr>
                <w:rFonts w:ascii="Arial" w:hAnsi="Arial" w:cs="Arial"/>
                <w:b/>
                <w:bCs/>
                <w:sz w:val="24"/>
                <w:szCs w:val="24"/>
              </w:rPr>
              <w:t>Opracowanie i udostępnienie szkoleń e-learningowych stanowiących kompendium wiedzy z zagadnień omawianych podczas stacjonarnych szkoleń, przeznaczonych dla pracowników sądów, którzy nie uczestniczyli w szkoleniach stacjonarnych oraz dla nowych pracowników.</w:t>
            </w:r>
          </w:p>
          <w:p w14:paraId="345B41E9" w14:textId="77777777" w:rsidR="00B75F78" w:rsidRPr="00B75F78" w:rsidRDefault="00B75F78" w:rsidP="00B75F78">
            <w:pPr>
              <w:spacing w:before="120" w:after="120" w:line="360" w:lineRule="auto"/>
              <w:ind w:left="324"/>
              <w:rPr>
                <w:rFonts w:ascii="Arial" w:hAnsi="Arial" w:cs="Arial"/>
                <w:sz w:val="24"/>
                <w:szCs w:val="24"/>
              </w:rPr>
            </w:pPr>
            <w:r w:rsidRPr="00B75F78">
              <w:rPr>
                <w:rFonts w:ascii="Arial" w:hAnsi="Arial" w:cs="Arial"/>
                <w:sz w:val="24"/>
                <w:szCs w:val="24"/>
              </w:rPr>
              <w:t xml:space="preserve">Termin: do końca II kwartału 2023, szacunkowy koszt – 0,5% udziału w kosztach ogółem, 175.000 </w:t>
            </w:r>
            <w:proofErr w:type="gramStart"/>
            <w:r w:rsidRPr="00B75F78">
              <w:rPr>
                <w:rFonts w:ascii="Arial" w:hAnsi="Arial" w:cs="Arial"/>
                <w:sz w:val="24"/>
                <w:szCs w:val="24"/>
              </w:rPr>
              <w:t>zł</w:t>
            </w:r>
            <w:proofErr w:type="gramEnd"/>
          </w:p>
          <w:p w14:paraId="2BFC6023" w14:textId="77777777" w:rsidR="00B75F78" w:rsidRPr="00B75F78" w:rsidRDefault="00B75F78" w:rsidP="00B75F78">
            <w:pPr>
              <w:numPr>
                <w:ilvl w:val="0"/>
                <w:numId w:val="34"/>
              </w:numPr>
              <w:spacing w:after="160" w:line="360" w:lineRule="auto"/>
              <w:rPr>
                <w:rFonts w:ascii="Arial" w:hAnsi="Arial" w:cs="Arial"/>
                <w:b/>
                <w:bCs/>
                <w:sz w:val="24"/>
                <w:szCs w:val="24"/>
              </w:rPr>
            </w:pPr>
            <w:r w:rsidRPr="00B75F78">
              <w:rPr>
                <w:rFonts w:ascii="Arial" w:hAnsi="Arial" w:cs="Arial"/>
                <w:b/>
                <w:bCs/>
                <w:sz w:val="24"/>
                <w:szCs w:val="24"/>
              </w:rPr>
              <w:t>Sporządzenie raportu końcowego.</w:t>
            </w:r>
          </w:p>
          <w:p w14:paraId="0C00E60D" w14:textId="77777777" w:rsidR="00B75F78" w:rsidRPr="00B75F78" w:rsidRDefault="00B75F78" w:rsidP="00B75F78">
            <w:pPr>
              <w:spacing w:before="120" w:after="120" w:line="360" w:lineRule="auto"/>
              <w:ind w:left="324"/>
              <w:rPr>
                <w:rFonts w:ascii="Arial" w:hAnsi="Arial" w:cs="Arial"/>
                <w:sz w:val="24"/>
                <w:szCs w:val="24"/>
              </w:rPr>
            </w:pPr>
            <w:r w:rsidRPr="00B75F78">
              <w:rPr>
                <w:rFonts w:ascii="Arial" w:hAnsi="Arial" w:cs="Arial"/>
                <w:sz w:val="24"/>
                <w:szCs w:val="24"/>
              </w:rPr>
              <w:t xml:space="preserve">Termin: II kwartał 2023, szacunkowy koszt – 0,3% udziału w kosztach ogółem, 105.000 </w:t>
            </w:r>
            <w:proofErr w:type="gramStart"/>
            <w:r w:rsidRPr="00B75F78">
              <w:rPr>
                <w:rFonts w:ascii="Arial" w:hAnsi="Arial" w:cs="Arial"/>
                <w:sz w:val="24"/>
                <w:szCs w:val="24"/>
              </w:rPr>
              <w:t>zł</w:t>
            </w:r>
            <w:proofErr w:type="gramEnd"/>
          </w:p>
        </w:tc>
      </w:tr>
      <w:tr w:rsidR="00B75F78" w:rsidRPr="00B75F78" w14:paraId="54A3CA93" w14:textId="77777777" w:rsidTr="00B81D3B">
        <w:trPr>
          <w:trHeight w:val="636"/>
        </w:trPr>
        <w:tc>
          <w:tcPr>
            <w:tcW w:w="1983" w:type="dxa"/>
            <w:gridSpan w:val="3"/>
            <w:tcBorders>
              <w:top w:val="single" w:sz="2" w:space="0" w:color="auto"/>
              <w:bottom w:val="single" w:sz="2" w:space="0" w:color="auto"/>
            </w:tcBorders>
            <w:shd w:val="clear" w:color="auto" w:fill="CCC0D9"/>
            <w:vAlign w:val="center"/>
          </w:tcPr>
          <w:p w14:paraId="4C1A5F5F"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lastRenderedPageBreak/>
              <w:t>Podmiot zgłaszający projekt</w:t>
            </w:r>
            <w:r w:rsidRPr="00B75F78">
              <w:rPr>
                <w:rFonts w:ascii="Arial" w:hAnsi="Arial" w:cs="Arial"/>
                <w:sz w:val="24"/>
                <w:szCs w:val="24"/>
                <w:vertAlign w:val="superscript"/>
              </w:rPr>
              <w:footnoteReference w:id="3"/>
            </w:r>
          </w:p>
        </w:tc>
        <w:tc>
          <w:tcPr>
            <w:tcW w:w="7373" w:type="dxa"/>
            <w:gridSpan w:val="14"/>
            <w:tcBorders>
              <w:top w:val="single" w:sz="2" w:space="0" w:color="auto"/>
              <w:bottom w:val="single" w:sz="2" w:space="0" w:color="auto"/>
            </w:tcBorders>
          </w:tcPr>
          <w:p w14:paraId="2AC9A44B" w14:textId="77777777" w:rsidR="00B75F78" w:rsidRPr="00B75F78" w:rsidRDefault="00B75F78" w:rsidP="00B75F78">
            <w:pPr>
              <w:spacing w:before="120" w:after="120" w:line="360" w:lineRule="auto"/>
              <w:rPr>
                <w:rFonts w:ascii="Arial" w:hAnsi="Arial" w:cs="Arial"/>
                <w:sz w:val="24"/>
                <w:szCs w:val="24"/>
              </w:rPr>
            </w:pPr>
          </w:p>
          <w:p w14:paraId="14B0907D" w14:textId="77777777" w:rsidR="00B75F78" w:rsidRPr="00B75F78" w:rsidRDefault="00B75F78" w:rsidP="00B75F78">
            <w:pPr>
              <w:spacing w:line="360" w:lineRule="auto"/>
              <w:rPr>
                <w:rFonts w:ascii="Arial" w:hAnsi="Arial" w:cs="Arial"/>
                <w:sz w:val="24"/>
                <w:szCs w:val="24"/>
              </w:rPr>
            </w:pPr>
            <w:r w:rsidRPr="00B75F78">
              <w:rPr>
                <w:rFonts w:ascii="Arial" w:hAnsi="Arial" w:cs="Arial"/>
                <w:sz w:val="24"/>
                <w:szCs w:val="24"/>
              </w:rPr>
              <w:t>Ministerstwo Sprawiedliwości</w:t>
            </w:r>
          </w:p>
        </w:tc>
      </w:tr>
      <w:tr w:rsidR="00B75F78" w:rsidRPr="00B75F78" w14:paraId="661B2DAA" w14:textId="77777777" w:rsidTr="00B81D3B">
        <w:trPr>
          <w:trHeight w:val="434"/>
        </w:trPr>
        <w:tc>
          <w:tcPr>
            <w:tcW w:w="1983" w:type="dxa"/>
            <w:gridSpan w:val="3"/>
            <w:tcBorders>
              <w:top w:val="single" w:sz="2" w:space="0" w:color="auto"/>
              <w:bottom w:val="single" w:sz="2" w:space="0" w:color="auto"/>
            </w:tcBorders>
            <w:shd w:val="clear" w:color="auto" w:fill="CCC0D9"/>
            <w:vAlign w:val="center"/>
          </w:tcPr>
          <w:p w14:paraId="2A9F47F7"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Podmiot, który będzie wnioskodawcą</w:t>
            </w:r>
          </w:p>
        </w:tc>
        <w:tc>
          <w:tcPr>
            <w:tcW w:w="7373" w:type="dxa"/>
            <w:gridSpan w:val="14"/>
            <w:tcBorders>
              <w:top w:val="single" w:sz="2" w:space="0" w:color="auto"/>
              <w:bottom w:val="single" w:sz="2" w:space="0" w:color="auto"/>
            </w:tcBorders>
            <w:vAlign w:val="center"/>
          </w:tcPr>
          <w:p w14:paraId="3B988B0C" w14:textId="77777777" w:rsidR="00B75F78" w:rsidRPr="00B75F78" w:rsidRDefault="00B75F78" w:rsidP="00B75F78">
            <w:pPr>
              <w:spacing w:line="360" w:lineRule="auto"/>
              <w:rPr>
                <w:rFonts w:ascii="Arial" w:hAnsi="Arial" w:cs="Arial"/>
                <w:sz w:val="24"/>
                <w:szCs w:val="24"/>
              </w:rPr>
            </w:pPr>
            <w:r w:rsidRPr="00B75F78">
              <w:rPr>
                <w:rFonts w:ascii="Arial" w:hAnsi="Arial" w:cs="Arial"/>
                <w:sz w:val="24"/>
                <w:szCs w:val="24"/>
              </w:rPr>
              <w:t>Ministerstwo Sprawiedliwości</w:t>
            </w:r>
          </w:p>
        </w:tc>
      </w:tr>
      <w:tr w:rsidR="00B75F78" w:rsidRPr="00B75F78" w14:paraId="049F4186" w14:textId="77777777" w:rsidTr="00B81D3B">
        <w:trPr>
          <w:trHeight w:val="434"/>
        </w:trPr>
        <w:tc>
          <w:tcPr>
            <w:tcW w:w="1983" w:type="dxa"/>
            <w:gridSpan w:val="3"/>
            <w:tcBorders>
              <w:top w:val="single" w:sz="2" w:space="0" w:color="auto"/>
              <w:bottom w:val="single" w:sz="2" w:space="0" w:color="auto"/>
            </w:tcBorders>
            <w:shd w:val="clear" w:color="auto" w:fill="CCC0D9"/>
            <w:vAlign w:val="center"/>
          </w:tcPr>
          <w:p w14:paraId="3BB3B896"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Uzasadnienie wyboru podmiotu, który będzie wnioskodawcą</w:t>
            </w:r>
            <w:r w:rsidRPr="00B75F78">
              <w:rPr>
                <w:rFonts w:ascii="Arial" w:hAnsi="Arial" w:cs="Arial"/>
                <w:sz w:val="24"/>
                <w:szCs w:val="24"/>
                <w:vertAlign w:val="superscript"/>
              </w:rPr>
              <w:footnoteReference w:id="4"/>
            </w:r>
          </w:p>
        </w:tc>
        <w:tc>
          <w:tcPr>
            <w:tcW w:w="7373" w:type="dxa"/>
            <w:gridSpan w:val="14"/>
            <w:tcBorders>
              <w:top w:val="single" w:sz="2" w:space="0" w:color="auto"/>
              <w:bottom w:val="single" w:sz="2" w:space="0" w:color="auto"/>
            </w:tcBorders>
            <w:vAlign w:val="center"/>
          </w:tcPr>
          <w:p w14:paraId="78BD268F" w14:textId="77777777" w:rsidR="00B75F78" w:rsidRPr="00B75F78" w:rsidRDefault="00B75F78" w:rsidP="00B75F78">
            <w:pPr>
              <w:spacing w:before="240" w:line="360" w:lineRule="auto"/>
              <w:rPr>
                <w:rFonts w:ascii="Arial" w:hAnsi="Arial" w:cs="Arial"/>
                <w:bCs/>
                <w:sz w:val="24"/>
                <w:szCs w:val="24"/>
              </w:rPr>
            </w:pPr>
            <w:r w:rsidRPr="00B75F78">
              <w:rPr>
                <w:rFonts w:ascii="Arial" w:hAnsi="Arial" w:cs="Arial"/>
                <w:sz w:val="24"/>
                <w:szCs w:val="24"/>
              </w:rPr>
              <w:t xml:space="preserve">Zgodnie z regulacjami zawartymi w art. 24 </w:t>
            </w:r>
            <w:r w:rsidRPr="00B75F78">
              <w:rPr>
                <w:rFonts w:ascii="Arial" w:hAnsi="Arial" w:cs="Arial"/>
                <w:iCs/>
                <w:sz w:val="24"/>
                <w:szCs w:val="24"/>
              </w:rPr>
              <w:t xml:space="preserve">ustawy z dnia </w:t>
            </w:r>
            <w:r w:rsidRPr="00B75F78">
              <w:rPr>
                <w:rFonts w:ascii="Arial" w:hAnsi="Arial" w:cs="Arial"/>
                <w:bCs/>
                <w:iCs/>
                <w:sz w:val="24"/>
                <w:szCs w:val="24"/>
              </w:rPr>
              <w:t>z dnia 4 września 1997 r.</w:t>
            </w:r>
            <w:r w:rsidRPr="00B75F78">
              <w:rPr>
                <w:rFonts w:ascii="Arial" w:hAnsi="Arial" w:cs="Arial"/>
                <w:i/>
                <w:sz w:val="24"/>
                <w:szCs w:val="24"/>
              </w:rPr>
              <w:t xml:space="preserve"> </w:t>
            </w:r>
            <w:r w:rsidRPr="00B75F78">
              <w:rPr>
                <w:rFonts w:ascii="Arial" w:hAnsi="Arial" w:cs="Arial"/>
                <w:iCs/>
                <w:sz w:val="24"/>
                <w:szCs w:val="24"/>
              </w:rPr>
              <w:t>o działach administracji rządowej</w:t>
            </w:r>
            <w:r w:rsidRPr="00B75F78">
              <w:rPr>
                <w:rFonts w:ascii="Arial" w:hAnsi="Arial" w:cs="Arial"/>
                <w:sz w:val="24"/>
                <w:szCs w:val="24"/>
              </w:rPr>
              <w:t xml:space="preserve"> </w:t>
            </w:r>
            <w:r w:rsidRPr="00B75F78">
              <w:rPr>
                <w:rFonts w:ascii="Arial" w:hAnsi="Arial" w:cs="Arial"/>
                <w:bCs/>
                <w:sz w:val="24"/>
                <w:szCs w:val="24"/>
              </w:rPr>
              <w:t xml:space="preserve">(Dz.U. Z 2019 r. Poz. 945) w wyłącznej właściwości Ministra Sprawiedliwości znajdują się sprawy z zakresu sądownictwa. Ponadto Minister Sprawiedliwości posiada kompetencję do przedkładania projektów aktów normatywnych właściwych dla przypisanego mu działu administracji rządowej. </w:t>
            </w:r>
          </w:p>
          <w:p w14:paraId="0B7D3483" w14:textId="77777777" w:rsidR="00B75F78" w:rsidRPr="00B75F78" w:rsidRDefault="00B75F78" w:rsidP="00B75F78">
            <w:pPr>
              <w:spacing w:line="360" w:lineRule="auto"/>
              <w:rPr>
                <w:rFonts w:ascii="Arial" w:hAnsi="Arial" w:cs="Arial"/>
                <w:b/>
                <w:bCs/>
                <w:caps/>
                <w:color w:val="000000"/>
                <w:kern w:val="36"/>
                <w:sz w:val="24"/>
                <w:szCs w:val="24"/>
                <w:lang w:eastAsia="pl-PL"/>
              </w:rPr>
            </w:pPr>
            <w:r w:rsidRPr="00B75F78">
              <w:rPr>
                <w:rFonts w:ascii="Arial" w:hAnsi="Arial" w:cs="Arial"/>
                <w:sz w:val="24"/>
                <w:szCs w:val="24"/>
                <w:lang w:eastAsia="pl-PL"/>
              </w:rPr>
              <w:t>Ponadto z ustawy z dnia 27 lipca 2001 r</w:t>
            </w:r>
            <w:r w:rsidRPr="00B75F78">
              <w:rPr>
                <w:rFonts w:ascii="Arial" w:hAnsi="Arial" w:cs="Arial"/>
                <w:i/>
                <w:sz w:val="24"/>
                <w:szCs w:val="24"/>
                <w:lang w:eastAsia="pl-PL"/>
              </w:rPr>
              <w:t xml:space="preserve">. </w:t>
            </w:r>
            <w:r w:rsidRPr="00B75F78">
              <w:rPr>
                <w:rFonts w:ascii="Arial" w:hAnsi="Arial" w:cs="Arial"/>
                <w:iCs/>
                <w:sz w:val="24"/>
                <w:szCs w:val="24"/>
                <w:lang w:eastAsia="pl-PL"/>
              </w:rPr>
              <w:t>Prawo o ustroju sądów powszechnych wynika, że Minister Sprawiedliwości</w:t>
            </w:r>
            <w:r w:rsidRPr="00B75F78">
              <w:rPr>
                <w:rFonts w:ascii="Arial" w:hAnsi="Arial" w:cs="Arial"/>
                <w:sz w:val="24"/>
                <w:szCs w:val="24"/>
                <w:lang w:eastAsia="pl-PL"/>
              </w:rPr>
              <w:t xml:space="preserve"> sprawuje nadzór administracyjny nad działalnością sądów, która polega na zapewnieniu odpowiednich warunków techniczno-organizacyjnych oraz właściwego toku wewnętrznego urzędowania sądu, bezpośrednio związanego z wykonywaniem przez sąd jego zadań. Natomiast szczegółowe </w:t>
            </w:r>
            <w:proofErr w:type="gramStart"/>
            <w:r w:rsidRPr="00B75F78">
              <w:rPr>
                <w:rFonts w:ascii="Arial" w:hAnsi="Arial" w:cs="Arial"/>
                <w:sz w:val="24"/>
                <w:szCs w:val="24"/>
                <w:lang w:eastAsia="pl-PL"/>
              </w:rPr>
              <w:t>wytyczne co</w:t>
            </w:r>
            <w:proofErr w:type="gramEnd"/>
            <w:r w:rsidRPr="00B75F78">
              <w:rPr>
                <w:rFonts w:ascii="Arial" w:hAnsi="Arial" w:cs="Arial"/>
                <w:sz w:val="24"/>
                <w:szCs w:val="24"/>
                <w:lang w:eastAsia="pl-PL"/>
              </w:rPr>
              <w:t xml:space="preserve"> do zasady funkcjonowania, udostępniania pomieszczeń i obsługi </w:t>
            </w:r>
            <w:r w:rsidRPr="00B75F78">
              <w:rPr>
                <w:rFonts w:ascii="Arial" w:hAnsi="Arial" w:cs="Arial"/>
                <w:sz w:val="24"/>
                <w:szCs w:val="24"/>
                <w:shd w:val="clear" w:color="auto" w:fill="FFFFFF"/>
              </w:rPr>
              <w:t xml:space="preserve">uczestników postępowania, świadków i innych osób przebywających w sądach, jak też wymogów związanych z udogodnieniami i pomocą dla osób z niepełnosprawnościami - zgodnie z kompetencją sądu regulowane są w </w:t>
            </w:r>
            <w:r w:rsidRPr="00B75F78">
              <w:rPr>
                <w:rFonts w:ascii="Arial" w:hAnsi="Arial" w:cs="Arial"/>
                <w:bCs/>
                <w:color w:val="000000"/>
                <w:kern w:val="36"/>
                <w:sz w:val="24"/>
                <w:szCs w:val="24"/>
                <w:lang w:eastAsia="pl-PL"/>
              </w:rPr>
              <w:t xml:space="preserve">rozporządzeniu Ministra Sprawiedliwości </w:t>
            </w:r>
            <w:r w:rsidRPr="00B75F78">
              <w:rPr>
                <w:rFonts w:ascii="Arial" w:hAnsi="Arial" w:cs="Arial"/>
                <w:bCs/>
                <w:sz w:val="24"/>
                <w:szCs w:val="24"/>
                <w:lang w:eastAsia="pl-PL"/>
              </w:rPr>
              <w:t xml:space="preserve">z dnia 18 czerwca 2019 r. </w:t>
            </w:r>
            <w:r w:rsidRPr="00B75F78">
              <w:rPr>
                <w:rFonts w:ascii="Arial" w:hAnsi="Arial" w:cs="Arial"/>
                <w:bCs/>
                <w:caps/>
                <w:color w:val="000000"/>
                <w:kern w:val="36"/>
                <w:sz w:val="24"/>
                <w:szCs w:val="24"/>
                <w:lang w:eastAsia="pl-PL"/>
              </w:rPr>
              <w:t xml:space="preserve">- </w:t>
            </w:r>
            <w:r w:rsidRPr="00B75F78">
              <w:rPr>
                <w:rFonts w:ascii="Arial" w:hAnsi="Arial" w:cs="Arial"/>
                <w:bCs/>
                <w:color w:val="000000"/>
                <w:kern w:val="36"/>
                <w:sz w:val="24"/>
                <w:szCs w:val="24"/>
                <w:lang w:eastAsia="pl-PL"/>
              </w:rPr>
              <w:t xml:space="preserve">Regulamin urzędowania </w:t>
            </w:r>
            <w:bookmarkStart w:id="3" w:name="highlightHit_0"/>
            <w:bookmarkEnd w:id="3"/>
            <w:r w:rsidRPr="00B75F78">
              <w:rPr>
                <w:rFonts w:ascii="Arial" w:hAnsi="Arial" w:cs="Arial"/>
                <w:sz w:val="24"/>
                <w:szCs w:val="24"/>
              </w:rPr>
              <w:t>sądów</w:t>
            </w:r>
            <w:r w:rsidRPr="00B75F78">
              <w:rPr>
                <w:rFonts w:ascii="Arial" w:hAnsi="Arial" w:cs="Arial"/>
                <w:bCs/>
                <w:caps/>
                <w:color w:val="000000"/>
                <w:kern w:val="36"/>
                <w:sz w:val="24"/>
                <w:szCs w:val="24"/>
                <w:lang w:eastAsia="pl-PL"/>
              </w:rPr>
              <w:t xml:space="preserve"> </w:t>
            </w:r>
            <w:bookmarkStart w:id="4" w:name="highlightHit_1"/>
            <w:bookmarkEnd w:id="4"/>
            <w:r w:rsidRPr="00B75F78">
              <w:rPr>
                <w:rFonts w:ascii="Arial" w:hAnsi="Arial" w:cs="Arial"/>
                <w:sz w:val="24"/>
                <w:szCs w:val="24"/>
              </w:rPr>
              <w:t>powszechnych</w:t>
            </w:r>
            <w:bookmarkStart w:id="5" w:name="mip49427346"/>
            <w:bookmarkStart w:id="6" w:name="mip49427379"/>
            <w:bookmarkStart w:id="7" w:name="mip49427475"/>
            <w:bookmarkStart w:id="8" w:name="mip46784681"/>
            <w:bookmarkEnd w:id="5"/>
            <w:bookmarkEnd w:id="6"/>
            <w:bookmarkEnd w:id="7"/>
            <w:bookmarkEnd w:id="8"/>
            <w:r w:rsidRPr="00B75F78">
              <w:rPr>
                <w:rFonts w:ascii="Arial" w:hAnsi="Arial" w:cs="Arial"/>
                <w:sz w:val="24"/>
                <w:szCs w:val="24"/>
              </w:rPr>
              <w:t>.</w:t>
            </w:r>
          </w:p>
          <w:p w14:paraId="5D54431B" w14:textId="77777777" w:rsidR="00B75F78" w:rsidRPr="00B75F78" w:rsidRDefault="00B75F78" w:rsidP="00B75F78">
            <w:pPr>
              <w:spacing w:line="360" w:lineRule="auto"/>
              <w:rPr>
                <w:rFonts w:ascii="Arial" w:hAnsi="Arial" w:cs="Arial"/>
                <w:sz w:val="24"/>
                <w:szCs w:val="24"/>
              </w:rPr>
            </w:pPr>
            <w:r w:rsidRPr="00B75F78">
              <w:rPr>
                <w:rFonts w:ascii="Arial" w:hAnsi="Arial" w:cs="Arial"/>
                <w:sz w:val="24"/>
                <w:szCs w:val="24"/>
              </w:rPr>
              <w:t xml:space="preserve">Mając powyższe na uwadze przyznać należy, że projekt powinien być realizowany przez Ministerstwo Sprawiedliwości, ze względu </w:t>
            </w:r>
            <w:r w:rsidRPr="00B75F78">
              <w:rPr>
                <w:rFonts w:ascii="Arial" w:hAnsi="Arial" w:cs="Arial"/>
                <w:sz w:val="24"/>
                <w:szCs w:val="24"/>
              </w:rPr>
              <w:lastRenderedPageBreak/>
              <w:t xml:space="preserve">na funkcje zarządcze i nadzorcze Ministra Sprawiedliwości nad działalnością administracyjną sądów powszechnych oraz zadania dysponenta części budżetowej odpowiadającej sądom powszechnym, tym samym występowanie monopolu kompetencyjnego wnioskodawcy w obszarze objętym interwencją – zgodnie z art. 38 ust. 2 i 3 ustawy z dnia 11 lipca 2014 r. o zasadach realizacji programów w zakresie polityki spójności finansowanych w perspektywie finansowej 2014-2020 (Dz. U. </w:t>
            </w:r>
            <w:proofErr w:type="gramStart"/>
            <w:r w:rsidRPr="00B75F78">
              <w:rPr>
                <w:rFonts w:ascii="Arial" w:hAnsi="Arial" w:cs="Arial"/>
                <w:sz w:val="24"/>
                <w:szCs w:val="24"/>
              </w:rPr>
              <w:t>z</w:t>
            </w:r>
            <w:proofErr w:type="gramEnd"/>
            <w:r w:rsidRPr="00B75F78">
              <w:rPr>
                <w:rFonts w:ascii="Arial" w:hAnsi="Arial" w:cs="Arial"/>
                <w:sz w:val="24"/>
                <w:szCs w:val="24"/>
              </w:rPr>
              <w:t xml:space="preserve"> 2018 r. poz. 1431 z późn. </w:t>
            </w:r>
            <w:proofErr w:type="gramStart"/>
            <w:r w:rsidRPr="00B75F78">
              <w:rPr>
                <w:rFonts w:ascii="Arial" w:hAnsi="Arial" w:cs="Arial"/>
                <w:sz w:val="24"/>
                <w:szCs w:val="24"/>
              </w:rPr>
              <w:t>zm</w:t>
            </w:r>
            <w:proofErr w:type="gramEnd"/>
            <w:r w:rsidRPr="00B75F78">
              <w:rPr>
                <w:rFonts w:ascii="Arial" w:hAnsi="Arial" w:cs="Arial"/>
                <w:sz w:val="24"/>
                <w:szCs w:val="24"/>
              </w:rPr>
              <w:t>.) oraz podrozdziału 5.2.1 Polityka spójności i rozdziału 5.2 Zasady wyboru projektów Umowy partnerstwa z dnia 21 maja 2014 r.</w:t>
            </w:r>
          </w:p>
        </w:tc>
      </w:tr>
      <w:tr w:rsidR="00B75F78" w:rsidRPr="00B75F78" w14:paraId="11C7FEA5" w14:textId="77777777" w:rsidTr="00B81D3B">
        <w:trPr>
          <w:trHeight w:val="434"/>
        </w:trPr>
        <w:tc>
          <w:tcPr>
            <w:tcW w:w="1983" w:type="dxa"/>
            <w:gridSpan w:val="3"/>
            <w:tcBorders>
              <w:top w:val="single" w:sz="2" w:space="0" w:color="auto"/>
              <w:bottom w:val="single" w:sz="2" w:space="0" w:color="auto"/>
            </w:tcBorders>
            <w:shd w:val="clear" w:color="auto" w:fill="CCC0D9"/>
            <w:vAlign w:val="center"/>
          </w:tcPr>
          <w:p w14:paraId="6CA15591"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lastRenderedPageBreak/>
              <w:t>Czy projekt będzie realizowany w partnerstwie?</w:t>
            </w:r>
          </w:p>
        </w:tc>
        <w:tc>
          <w:tcPr>
            <w:tcW w:w="1831" w:type="dxa"/>
            <w:gridSpan w:val="3"/>
            <w:tcBorders>
              <w:top w:val="single" w:sz="2" w:space="0" w:color="auto"/>
              <w:bottom w:val="single" w:sz="2" w:space="0" w:color="auto"/>
            </w:tcBorders>
            <w:shd w:val="clear" w:color="auto" w:fill="CCC0D9"/>
            <w:vAlign w:val="center"/>
          </w:tcPr>
          <w:p w14:paraId="045C9C1B" w14:textId="77777777" w:rsidR="00B75F78" w:rsidRPr="00B75F78" w:rsidRDefault="00B75F78" w:rsidP="00B75F78">
            <w:pPr>
              <w:spacing w:before="120" w:after="120" w:line="360" w:lineRule="auto"/>
              <w:jc w:val="center"/>
              <w:rPr>
                <w:rFonts w:ascii="Arial" w:hAnsi="Arial" w:cs="Arial"/>
                <w:b/>
                <w:sz w:val="24"/>
                <w:szCs w:val="24"/>
              </w:rPr>
            </w:pPr>
            <w:r w:rsidRPr="00B75F78">
              <w:rPr>
                <w:rFonts w:ascii="Arial" w:hAnsi="Arial" w:cs="Arial"/>
                <w:b/>
                <w:sz w:val="24"/>
                <w:szCs w:val="24"/>
              </w:rPr>
              <w:t>TAK</w:t>
            </w:r>
          </w:p>
        </w:tc>
        <w:tc>
          <w:tcPr>
            <w:tcW w:w="1845" w:type="dxa"/>
            <w:gridSpan w:val="4"/>
            <w:tcBorders>
              <w:top w:val="single" w:sz="2" w:space="0" w:color="auto"/>
              <w:bottom w:val="single" w:sz="2" w:space="0" w:color="auto"/>
            </w:tcBorders>
            <w:shd w:val="clear" w:color="auto" w:fill="auto"/>
            <w:vAlign w:val="center"/>
          </w:tcPr>
          <w:p w14:paraId="6FDD782B" w14:textId="77777777" w:rsidR="00B75F78" w:rsidRPr="00B75F78" w:rsidRDefault="00B75F78" w:rsidP="00B75F78">
            <w:pPr>
              <w:spacing w:before="120" w:after="120" w:line="360" w:lineRule="auto"/>
              <w:jc w:val="center"/>
              <w:rPr>
                <w:rFonts w:ascii="Arial" w:hAnsi="Arial" w:cs="Arial"/>
                <w:b/>
                <w:sz w:val="24"/>
                <w:szCs w:val="24"/>
              </w:rPr>
            </w:pPr>
          </w:p>
        </w:tc>
        <w:tc>
          <w:tcPr>
            <w:tcW w:w="1853" w:type="dxa"/>
            <w:gridSpan w:val="6"/>
            <w:tcBorders>
              <w:top w:val="single" w:sz="2" w:space="0" w:color="auto"/>
              <w:bottom w:val="single" w:sz="2" w:space="0" w:color="auto"/>
            </w:tcBorders>
            <w:shd w:val="clear" w:color="auto" w:fill="CCC0D9"/>
            <w:vAlign w:val="center"/>
          </w:tcPr>
          <w:p w14:paraId="1E580AF3" w14:textId="77777777" w:rsidR="00B75F78" w:rsidRPr="00B75F78" w:rsidRDefault="00B75F78" w:rsidP="00B75F78">
            <w:pPr>
              <w:spacing w:before="120" w:after="120" w:line="360" w:lineRule="auto"/>
              <w:jc w:val="center"/>
              <w:rPr>
                <w:rFonts w:ascii="Arial" w:hAnsi="Arial" w:cs="Arial"/>
                <w:b/>
                <w:sz w:val="24"/>
                <w:szCs w:val="24"/>
              </w:rPr>
            </w:pPr>
            <w:r w:rsidRPr="00B75F78">
              <w:rPr>
                <w:rFonts w:ascii="Arial" w:hAnsi="Arial" w:cs="Arial"/>
                <w:b/>
                <w:sz w:val="24"/>
                <w:szCs w:val="24"/>
              </w:rPr>
              <w:t>NIE</w:t>
            </w:r>
          </w:p>
        </w:tc>
        <w:tc>
          <w:tcPr>
            <w:tcW w:w="1844" w:type="dxa"/>
            <w:tcBorders>
              <w:top w:val="single" w:sz="2" w:space="0" w:color="auto"/>
              <w:bottom w:val="single" w:sz="2" w:space="0" w:color="auto"/>
            </w:tcBorders>
            <w:vAlign w:val="center"/>
          </w:tcPr>
          <w:p w14:paraId="32A8D389" w14:textId="77777777" w:rsidR="00B75F78" w:rsidRPr="00B75F78" w:rsidRDefault="00B75F78" w:rsidP="00B75F78">
            <w:pPr>
              <w:spacing w:before="120" w:after="120"/>
              <w:jc w:val="center"/>
              <w:rPr>
                <w:rFonts w:ascii="Arial" w:hAnsi="Arial" w:cs="Arial"/>
                <w:b/>
                <w:sz w:val="24"/>
                <w:szCs w:val="24"/>
              </w:rPr>
            </w:pPr>
            <w:r w:rsidRPr="00B75F78">
              <w:rPr>
                <w:rFonts w:ascii="Arial" w:hAnsi="Arial" w:cs="Arial"/>
                <w:b/>
                <w:sz w:val="24"/>
                <w:szCs w:val="24"/>
              </w:rPr>
              <w:t>X</w:t>
            </w:r>
          </w:p>
        </w:tc>
      </w:tr>
      <w:tr w:rsidR="00B75F78" w:rsidRPr="00B75F78" w14:paraId="27BD9BAE" w14:textId="77777777" w:rsidTr="00B81D3B">
        <w:trPr>
          <w:trHeight w:val="434"/>
        </w:trPr>
        <w:tc>
          <w:tcPr>
            <w:tcW w:w="1983" w:type="dxa"/>
            <w:gridSpan w:val="3"/>
            <w:tcBorders>
              <w:top w:val="single" w:sz="2" w:space="0" w:color="auto"/>
              <w:bottom w:val="single" w:sz="2" w:space="0" w:color="auto"/>
            </w:tcBorders>
            <w:shd w:val="clear" w:color="auto" w:fill="CCC0D9"/>
            <w:vAlign w:val="center"/>
          </w:tcPr>
          <w:p w14:paraId="4080CB8B"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 xml:space="preserve">Podmioty, które będą partnerami </w:t>
            </w:r>
            <w:r w:rsidRPr="00B75F78">
              <w:rPr>
                <w:rFonts w:ascii="Arial" w:hAnsi="Arial" w:cs="Arial"/>
                <w:sz w:val="24"/>
                <w:szCs w:val="24"/>
              </w:rPr>
              <w:br/>
              <w:t xml:space="preserve">w projekcie </w:t>
            </w:r>
            <w:r w:rsidRPr="00B75F78">
              <w:rPr>
                <w:rFonts w:ascii="Arial" w:hAnsi="Arial" w:cs="Arial"/>
                <w:sz w:val="24"/>
                <w:szCs w:val="24"/>
              </w:rPr>
              <w:br/>
              <w:t>i uzasadnienie ich wyboru</w:t>
            </w:r>
            <w:r w:rsidRPr="00B75F78">
              <w:rPr>
                <w:rFonts w:ascii="Arial" w:hAnsi="Arial" w:cs="Arial"/>
                <w:sz w:val="24"/>
                <w:szCs w:val="24"/>
                <w:vertAlign w:val="superscript"/>
              </w:rPr>
              <w:footnoteReference w:id="5"/>
            </w:r>
          </w:p>
        </w:tc>
        <w:tc>
          <w:tcPr>
            <w:tcW w:w="7373" w:type="dxa"/>
            <w:gridSpan w:val="14"/>
            <w:tcBorders>
              <w:top w:val="single" w:sz="2" w:space="0" w:color="auto"/>
              <w:bottom w:val="single" w:sz="2" w:space="0" w:color="auto"/>
            </w:tcBorders>
            <w:shd w:val="clear" w:color="auto" w:fill="FFFFFF"/>
            <w:vAlign w:val="center"/>
          </w:tcPr>
          <w:p w14:paraId="280D77E7" w14:textId="77777777" w:rsidR="00B75F78" w:rsidRPr="00B75F78" w:rsidRDefault="00B75F78" w:rsidP="00B75F78">
            <w:pPr>
              <w:spacing w:before="120" w:after="120" w:line="360" w:lineRule="auto"/>
              <w:rPr>
                <w:rFonts w:ascii="Arial" w:hAnsi="Arial" w:cs="Arial"/>
                <w:b/>
                <w:sz w:val="24"/>
                <w:szCs w:val="24"/>
              </w:rPr>
            </w:pPr>
            <w:r w:rsidRPr="00B75F78">
              <w:rPr>
                <w:rFonts w:ascii="Arial" w:hAnsi="Arial" w:cs="Arial"/>
                <w:b/>
                <w:sz w:val="24"/>
                <w:szCs w:val="24"/>
              </w:rPr>
              <w:t>Nie dotyczy</w:t>
            </w:r>
          </w:p>
        </w:tc>
      </w:tr>
      <w:tr w:rsidR="00B75F78" w:rsidRPr="00B75F78" w14:paraId="1069ED9F" w14:textId="77777777" w:rsidTr="00B81D3B">
        <w:trPr>
          <w:trHeight w:val="434"/>
        </w:trPr>
        <w:tc>
          <w:tcPr>
            <w:tcW w:w="1983" w:type="dxa"/>
            <w:gridSpan w:val="3"/>
            <w:tcBorders>
              <w:top w:val="single" w:sz="2" w:space="0" w:color="auto"/>
              <w:bottom w:val="single" w:sz="2" w:space="0" w:color="auto"/>
            </w:tcBorders>
            <w:shd w:val="clear" w:color="auto" w:fill="CCC0D9"/>
            <w:vAlign w:val="center"/>
          </w:tcPr>
          <w:p w14:paraId="300A35FB"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Czy projekt będzie projektem grantowym?</w:t>
            </w:r>
          </w:p>
        </w:tc>
        <w:tc>
          <w:tcPr>
            <w:tcW w:w="1841" w:type="dxa"/>
            <w:gridSpan w:val="4"/>
            <w:tcBorders>
              <w:top w:val="single" w:sz="2" w:space="0" w:color="auto"/>
              <w:bottom w:val="single" w:sz="2" w:space="0" w:color="auto"/>
            </w:tcBorders>
            <w:shd w:val="clear" w:color="auto" w:fill="CCC0D9"/>
            <w:vAlign w:val="center"/>
          </w:tcPr>
          <w:p w14:paraId="12C5BADF" w14:textId="77777777" w:rsidR="00B75F78" w:rsidRPr="00B75F78" w:rsidRDefault="00B75F78" w:rsidP="00B75F78">
            <w:pPr>
              <w:spacing w:before="120" w:after="120" w:line="360" w:lineRule="auto"/>
              <w:jc w:val="center"/>
              <w:rPr>
                <w:rFonts w:ascii="Arial" w:hAnsi="Arial" w:cs="Arial"/>
                <w:b/>
                <w:sz w:val="24"/>
                <w:szCs w:val="24"/>
              </w:rPr>
            </w:pPr>
            <w:r w:rsidRPr="00B75F78">
              <w:rPr>
                <w:rFonts w:ascii="Arial" w:hAnsi="Arial" w:cs="Arial"/>
                <w:b/>
                <w:sz w:val="24"/>
                <w:szCs w:val="24"/>
              </w:rPr>
              <w:t>TAK</w:t>
            </w:r>
          </w:p>
        </w:tc>
        <w:tc>
          <w:tcPr>
            <w:tcW w:w="1842" w:type="dxa"/>
            <w:gridSpan w:val="4"/>
            <w:tcBorders>
              <w:top w:val="single" w:sz="2" w:space="0" w:color="auto"/>
              <w:bottom w:val="single" w:sz="2" w:space="0" w:color="auto"/>
            </w:tcBorders>
            <w:shd w:val="clear" w:color="auto" w:fill="auto"/>
            <w:vAlign w:val="center"/>
          </w:tcPr>
          <w:p w14:paraId="469ECAF0" w14:textId="77777777" w:rsidR="00B75F78" w:rsidRPr="00B75F78" w:rsidRDefault="00B75F78" w:rsidP="00B75F78">
            <w:pPr>
              <w:spacing w:before="120" w:after="120" w:line="360" w:lineRule="auto"/>
              <w:jc w:val="center"/>
              <w:rPr>
                <w:rFonts w:ascii="Arial" w:hAnsi="Arial" w:cs="Arial"/>
                <w:b/>
                <w:sz w:val="24"/>
                <w:szCs w:val="24"/>
              </w:rPr>
            </w:pPr>
          </w:p>
        </w:tc>
        <w:tc>
          <w:tcPr>
            <w:tcW w:w="1846" w:type="dxa"/>
            <w:gridSpan w:val="5"/>
            <w:tcBorders>
              <w:top w:val="single" w:sz="2" w:space="0" w:color="auto"/>
              <w:bottom w:val="single" w:sz="2" w:space="0" w:color="auto"/>
            </w:tcBorders>
            <w:shd w:val="clear" w:color="auto" w:fill="CCC0D9"/>
            <w:vAlign w:val="center"/>
          </w:tcPr>
          <w:p w14:paraId="54DC2F6E" w14:textId="77777777" w:rsidR="00B75F78" w:rsidRPr="00B75F78" w:rsidRDefault="00B75F78" w:rsidP="00B75F78">
            <w:pPr>
              <w:spacing w:before="120" w:after="120" w:line="360" w:lineRule="auto"/>
              <w:jc w:val="center"/>
              <w:rPr>
                <w:rFonts w:ascii="Arial" w:hAnsi="Arial" w:cs="Arial"/>
                <w:b/>
                <w:sz w:val="24"/>
                <w:szCs w:val="24"/>
              </w:rPr>
            </w:pPr>
            <w:r w:rsidRPr="00B75F78">
              <w:rPr>
                <w:rFonts w:ascii="Arial" w:hAnsi="Arial" w:cs="Arial"/>
                <w:b/>
                <w:sz w:val="24"/>
                <w:szCs w:val="24"/>
              </w:rPr>
              <w:t>NIE</w:t>
            </w:r>
          </w:p>
        </w:tc>
        <w:tc>
          <w:tcPr>
            <w:tcW w:w="1844" w:type="dxa"/>
            <w:tcBorders>
              <w:top w:val="single" w:sz="2" w:space="0" w:color="auto"/>
              <w:bottom w:val="single" w:sz="2" w:space="0" w:color="auto"/>
            </w:tcBorders>
            <w:shd w:val="clear" w:color="auto" w:fill="FFFFFF"/>
            <w:vAlign w:val="center"/>
          </w:tcPr>
          <w:p w14:paraId="1E146B6D" w14:textId="77777777" w:rsidR="00B75F78" w:rsidRPr="00B75F78" w:rsidRDefault="00B75F78" w:rsidP="00B75F78">
            <w:pPr>
              <w:spacing w:before="120" w:after="120"/>
              <w:jc w:val="center"/>
              <w:rPr>
                <w:rFonts w:ascii="Arial" w:hAnsi="Arial" w:cs="Arial"/>
                <w:b/>
                <w:sz w:val="24"/>
                <w:szCs w:val="24"/>
              </w:rPr>
            </w:pPr>
            <w:r w:rsidRPr="00B75F78">
              <w:rPr>
                <w:rFonts w:ascii="Arial" w:hAnsi="Arial" w:cs="Arial"/>
                <w:b/>
                <w:sz w:val="24"/>
                <w:szCs w:val="24"/>
              </w:rPr>
              <w:t>X</w:t>
            </w:r>
          </w:p>
        </w:tc>
      </w:tr>
      <w:tr w:rsidR="00B75F78" w:rsidRPr="00B75F78" w14:paraId="0545CAFB" w14:textId="77777777" w:rsidTr="00B81D3B">
        <w:trPr>
          <w:trHeight w:val="434"/>
        </w:trPr>
        <w:tc>
          <w:tcPr>
            <w:tcW w:w="1983" w:type="dxa"/>
            <w:gridSpan w:val="3"/>
            <w:tcBorders>
              <w:top w:val="single" w:sz="2" w:space="0" w:color="auto"/>
              <w:bottom w:val="single" w:sz="2" w:space="0" w:color="auto"/>
            </w:tcBorders>
            <w:shd w:val="clear" w:color="auto" w:fill="CCC0D9"/>
            <w:vAlign w:val="center"/>
          </w:tcPr>
          <w:p w14:paraId="4ACDA901"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 xml:space="preserve">Przewidywany termin </w:t>
            </w:r>
            <w:r w:rsidRPr="00B75F78">
              <w:rPr>
                <w:rFonts w:ascii="Arial" w:hAnsi="Arial" w:cs="Arial"/>
                <w:sz w:val="24"/>
                <w:szCs w:val="24"/>
              </w:rPr>
              <w:br/>
              <w:t xml:space="preserve">złożenia wniosku </w:t>
            </w:r>
            <w:r w:rsidRPr="00B75F78">
              <w:rPr>
                <w:rFonts w:ascii="Arial" w:hAnsi="Arial" w:cs="Arial"/>
                <w:sz w:val="24"/>
                <w:szCs w:val="24"/>
              </w:rPr>
              <w:br/>
              <w:t xml:space="preserve">o </w:t>
            </w:r>
            <w:r w:rsidRPr="00B75F78">
              <w:rPr>
                <w:rFonts w:ascii="Arial" w:hAnsi="Arial" w:cs="Arial"/>
                <w:sz w:val="24"/>
                <w:szCs w:val="24"/>
              </w:rPr>
              <w:lastRenderedPageBreak/>
              <w:t>dofinansowanie</w:t>
            </w:r>
            <w:r w:rsidRPr="00B75F78">
              <w:rPr>
                <w:rFonts w:ascii="Arial" w:hAnsi="Arial" w:cs="Arial"/>
                <w:sz w:val="24"/>
                <w:szCs w:val="24"/>
              </w:rPr>
              <w:br/>
              <w:t>(kwartał albo miesiąc oraz rok)</w:t>
            </w:r>
          </w:p>
        </w:tc>
        <w:tc>
          <w:tcPr>
            <w:tcW w:w="7373" w:type="dxa"/>
            <w:gridSpan w:val="14"/>
            <w:tcBorders>
              <w:top w:val="single" w:sz="2" w:space="0" w:color="auto"/>
              <w:bottom w:val="single" w:sz="2" w:space="0" w:color="auto"/>
            </w:tcBorders>
            <w:vAlign w:val="center"/>
          </w:tcPr>
          <w:p w14:paraId="4ED966B3" w14:textId="77777777" w:rsidR="00B75F78" w:rsidRPr="00B75F78" w:rsidRDefault="00B75F78" w:rsidP="00B75F78">
            <w:pPr>
              <w:spacing w:line="360" w:lineRule="auto"/>
              <w:rPr>
                <w:rFonts w:ascii="Arial" w:hAnsi="Arial" w:cs="Arial"/>
                <w:b/>
                <w:sz w:val="24"/>
                <w:szCs w:val="24"/>
              </w:rPr>
            </w:pPr>
            <w:r w:rsidRPr="00B75F78">
              <w:rPr>
                <w:rFonts w:ascii="Arial" w:hAnsi="Arial" w:cs="Arial"/>
                <w:b/>
                <w:sz w:val="24"/>
                <w:szCs w:val="24"/>
              </w:rPr>
              <w:lastRenderedPageBreak/>
              <w:t>IV kwartał 2020 r.</w:t>
            </w:r>
          </w:p>
        </w:tc>
      </w:tr>
      <w:tr w:rsidR="00B75F78" w:rsidRPr="00B75F78" w14:paraId="333A0922" w14:textId="77777777" w:rsidTr="00B81D3B">
        <w:trPr>
          <w:trHeight w:val="469"/>
        </w:trPr>
        <w:tc>
          <w:tcPr>
            <w:tcW w:w="1983" w:type="dxa"/>
            <w:gridSpan w:val="3"/>
            <w:tcBorders>
              <w:top w:val="single" w:sz="2" w:space="0" w:color="auto"/>
              <w:bottom w:val="single" w:sz="12" w:space="0" w:color="auto"/>
            </w:tcBorders>
            <w:shd w:val="clear" w:color="auto" w:fill="CCC0D9"/>
            <w:vAlign w:val="center"/>
          </w:tcPr>
          <w:p w14:paraId="6188AC83"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lastRenderedPageBreak/>
              <w:t xml:space="preserve">Przewidywany okres realizacji projektu </w:t>
            </w:r>
          </w:p>
        </w:tc>
        <w:tc>
          <w:tcPr>
            <w:tcW w:w="1831" w:type="dxa"/>
            <w:gridSpan w:val="3"/>
            <w:tcBorders>
              <w:top w:val="single" w:sz="2" w:space="0" w:color="auto"/>
              <w:bottom w:val="single" w:sz="12" w:space="0" w:color="auto"/>
            </w:tcBorders>
            <w:shd w:val="clear" w:color="auto" w:fill="CCC0D9"/>
            <w:vAlign w:val="center"/>
          </w:tcPr>
          <w:p w14:paraId="534F19AC"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Data rozpoczęcia (miesiąc oraz rok)</w:t>
            </w:r>
          </w:p>
        </w:tc>
        <w:tc>
          <w:tcPr>
            <w:tcW w:w="1845" w:type="dxa"/>
            <w:gridSpan w:val="4"/>
            <w:tcBorders>
              <w:top w:val="single" w:sz="2" w:space="0" w:color="auto"/>
              <w:bottom w:val="single" w:sz="12" w:space="0" w:color="auto"/>
            </w:tcBorders>
            <w:vAlign w:val="center"/>
          </w:tcPr>
          <w:p w14:paraId="1C98AD89" w14:textId="77777777" w:rsidR="00B75F78" w:rsidRPr="00B75F78" w:rsidRDefault="00B75F78" w:rsidP="00B75F78">
            <w:pPr>
              <w:spacing w:line="360" w:lineRule="auto"/>
              <w:rPr>
                <w:rFonts w:ascii="Arial" w:hAnsi="Arial" w:cs="Arial"/>
                <w:sz w:val="24"/>
                <w:szCs w:val="24"/>
              </w:rPr>
            </w:pPr>
            <w:r w:rsidRPr="00B75F78">
              <w:rPr>
                <w:rFonts w:ascii="Arial" w:hAnsi="Arial" w:cs="Arial"/>
                <w:sz w:val="24"/>
                <w:szCs w:val="24"/>
              </w:rPr>
              <w:t>09.2020</w:t>
            </w:r>
          </w:p>
        </w:tc>
        <w:tc>
          <w:tcPr>
            <w:tcW w:w="1853" w:type="dxa"/>
            <w:gridSpan w:val="6"/>
            <w:tcBorders>
              <w:top w:val="single" w:sz="2" w:space="0" w:color="auto"/>
              <w:bottom w:val="single" w:sz="12" w:space="0" w:color="auto"/>
            </w:tcBorders>
            <w:shd w:val="clear" w:color="auto" w:fill="CCC0D9"/>
            <w:vAlign w:val="center"/>
          </w:tcPr>
          <w:p w14:paraId="28461047"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Data zakończenia (miesiąc oraz rok)</w:t>
            </w:r>
          </w:p>
        </w:tc>
        <w:tc>
          <w:tcPr>
            <w:tcW w:w="1844" w:type="dxa"/>
            <w:tcBorders>
              <w:top w:val="single" w:sz="2" w:space="0" w:color="auto"/>
              <w:bottom w:val="single" w:sz="12" w:space="0" w:color="auto"/>
            </w:tcBorders>
            <w:vAlign w:val="center"/>
          </w:tcPr>
          <w:p w14:paraId="22EB2D6A" w14:textId="77777777" w:rsidR="00B75F78" w:rsidRPr="00B75F78" w:rsidRDefault="00B75F78" w:rsidP="00B75F78">
            <w:pPr>
              <w:rPr>
                <w:rFonts w:ascii="Arial" w:hAnsi="Arial" w:cs="Arial"/>
                <w:sz w:val="24"/>
                <w:szCs w:val="24"/>
              </w:rPr>
            </w:pPr>
            <w:r w:rsidRPr="00B75F78">
              <w:rPr>
                <w:rFonts w:ascii="Arial" w:hAnsi="Arial" w:cs="Arial"/>
                <w:sz w:val="24"/>
                <w:szCs w:val="24"/>
              </w:rPr>
              <w:t>06.2023</w:t>
            </w:r>
          </w:p>
        </w:tc>
      </w:tr>
      <w:tr w:rsidR="00B75F78" w:rsidRPr="00B75F78" w14:paraId="63C39893" w14:textId="77777777" w:rsidTr="00B81D3B">
        <w:trPr>
          <w:trHeight w:val="567"/>
        </w:trPr>
        <w:tc>
          <w:tcPr>
            <w:tcW w:w="9356" w:type="dxa"/>
            <w:gridSpan w:val="17"/>
            <w:tcBorders>
              <w:top w:val="single" w:sz="12" w:space="0" w:color="auto"/>
              <w:bottom w:val="single" w:sz="12" w:space="0" w:color="auto"/>
            </w:tcBorders>
            <w:shd w:val="clear" w:color="auto" w:fill="CCC0D9"/>
            <w:vAlign w:val="center"/>
          </w:tcPr>
          <w:p w14:paraId="547D3E15" w14:textId="77777777" w:rsidR="00B75F78" w:rsidRPr="00B75F78" w:rsidRDefault="00B75F78" w:rsidP="00B75F78">
            <w:pPr>
              <w:spacing w:before="120" w:after="120"/>
              <w:rPr>
                <w:rFonts w:ascii="Arial" w:hAnsi="Arial" w:cs="Arial"/>
                <w:b/>
                <w:sz w:val="24"/>
                <w:szCs w:val="24"/>
              </w:rPr>
            </w:pPr>
            <w:r w:rsidRPr="00B75F78">
              <w:rPr>
                <w:rFonts w:ascii="Arial" w:hAnsi="Arial" w:cs="Arial"/>
                <w:b/>
                <w:sz w:val="24"/>
                <w:szCs w:val="24"/>
              </w:rPr>
              <w:t>SZACOWANY BUDŻET PROJEKTU</w:t>
            </w:r>
          </w:p>
        </w:tc>
      </w:tr>
      <w:tr w:rsidR="00B75F78" w:rsidRPr="00B75F78" w14:paraId="488D6A36" w14:textId="77777777" w:rsidTr="00B81D3B">
        <w:trPr>
          <w:trHeight w:val="567"/>
        </w:trPr>
        <w:tc>
          <w:tcPr>
            <w:tcW w:w="9356" w:type="dxa"/>
            <w:gridSpan w:val="17"/>
            <w:tcBorders>
              <w:top w:val="single" w:sz="12" w:space="0" w:color="auto"/>
              <w:bottom w:val="single" w:sz="2" w:space="0" w:color="auto"/>
            </w:tcBorders>
            <w:shd w:val="clear" w:color="auto" w:fill="CCC0D9"/>
            <w:vAlign w:val="center"/>
          </w:tcPr>
          <w:p w14:paraId="61C11D49"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Szacowana kwota wydatków w projekcie w podziale na lata i ogółem (PLN)</w:t>
            </w:r>
          </w:p>
        </w:tc>
      </w:tr>
      <w:tr w:rsidR="00B75F78" w:rsidRPr="00B75F78" w14:paraId="61EAF40A" w14:textId="77777777" w:rsidTr="00B81D3B">
        <w:trPr>
          <w:trHeight w:val="567"/>
        </w:trPr>
        <w:tc>
          <w:tcPr>
            <w:tcW w:w="1841" w:type="dxa"/>
            <w:gridSpan w:val="2"/>
            <w:tcBorders>
              <w:top w:val="single" w:sz="2" w:space="0" w:color="auto"/>
              <w:bottom w:val="single" w:sz="2" w:space="0" w:color="auto"/>
            </w:tcBorders>
            <w:shd w:val="clear" w:color="auto" w:fill="CCC0D9"/>
            <w:vAlign w:val="center"/>
          </w:tcPr>
          <w:p w14:paraId="74307AA5" w14:textId="77777777" w:rsidR="00B75F78" w:rsidRPr="00B75F78" w:rsidRDefault="00B75F78" w:rsidP="00B75F78">
            <w:pPr>
              <w:spacing w:before="120" w:after="120"/>
              <w:rPr>
                <w:rFonts w:ascii="Arial" w:hAnsi="Arial" w:cs="Arial"/>
                <w:sz w:val="24"/>
                <w:szCs w:val="24"/>
              </w:rPr>
            </w:pPr>
            <w:proofErr w:type="gramStart"/>
            <w:r w:rsidRPr="00B75F78">
              <w:rPr>
                <w:rFonts w:ascii="Arial" w:hAnsi="Arial" w:cs="Arial"/>
                <w:sz w:val="24"/>
                <w:szCs w:val="24"/>
              </w:rPr>
              <w:t>w</w:t>
            </w:r>
            <w:proofErr w:type="gramEnd"/>
            <w:r w:rsidRPr="00B75F78">
              <w:rPr>
                <w:rFonts w:ascii="Arial" w:hAnsi="Arial" w:cs="Arial"/>
                <w:sz w:val="24"/>
                <w:szCs w:val="24"/>
              </w:rPr>
              <w:t xml:space="preserve"> roku 2020</w:t>
            </w:r>
          </w:p>
        </w:tc>
        <w:tc>
          <w:tcPr>
            <w:tcW w:w="1703" w:type="dxa"/>
            <w:gridSpan w:val="3"/>
            <w:tcBorders>
              <w:top w:val="single" w:sz="2" w:space="0" w:color="auto"/>
              <w:bottom w:val="single" w:sz="2" w:space="0" w:color="auto"/>
            </w:tcBorders>
            <w:shd w:val="clear" w:color="auto" w:fill="CCC0D9"/>
            <w:vAlign w:val="center"/>
          </w:tcPr>
          <w:p w14:paraId="02DE14C4" w14:textId="77777777" w:rsidR="00B75F78" w:rsidRPr="00B75F78" w:rsidRDefault="00B75F78" w:rsidP="00B75F78">
            <w:pPr>
              <w:spacing w:before="120" w:after="120"/>
              <w:rPr>
                <w:rFonts w:ascii="Arial" w:hAnsi="Arial" w:cs="Arial"/>
                <w:sz w:val="24"/>
                <w:szCs w:val="24"/>
              </w:rPr>
            </w:pPr>
            <w:proofErr w:type="gramStart"/>
            <w:r w:rsidRPr="00B75F78">
              <w:rPr>
                <w:rFonts w:ascii="Arial" w:hAnsi="Arial" w:cs="Arial"/>
                <w:sz w:val="24"/>
                <w:szCs w:val="24"/>
              </w:rPr>
              <w:t>w</w:t>
            </w:r>
            <w:proofErr w:type="gramEnd"/>
            <w:r w:rsidRPr="00B75F78">
              <w:rPr>
                <w:rFonts w:ascii="Arial" w:hAnsi="Arial" w:cs="Arial"/>
                <w:sz w:val="24"/>
                <w:szCs w:val="24"/>
              </w:rPr>
              <w:t xml:space="preserve"> roku 2021</w:t>
            </w:r>
          </w:p>
        </w:tc>
        <w:tc>
          <w:tcPr>
            <w:tcW w:w="1697" w:type="dxa"/>
            <w:gridSpan w:val="4"/>
            <w:tcBorders>
              <w:top w:val="single" w:sz="2" w:space="0" w:color="auto"/>
              <w:bottom w:val="single" w:sz="2" w:space="0" w:color="auto"/>
            </w:tcBorders>
            <w:shd w:val="clear" w:color="auto" w:fill="CCC0D9"/>
            <w:vAlign w:val="center"/>
          </w:tcPr>
          <w:p w14:paraId="1CCF4A65" w14:textId="77777777" w:rsidR="00B75F78" w:rsidRPr="00B75F78" w:rsidRDefault="00B75F78" w:rsidP="00B75F78">
            <w:pPr>
              <w:spacing w:before="120" w:after="120"/>
              <w:rPr>
                <w:rFonts w:ascii="Arial" w:hAnsi="Arial" w:cs="Arial"/>
                <w:sz w:val="24"/>
                <w:szCs w:val="24"/>
              </w:rPr>
            </w:pPr>
            <w:proofErr w:type="gramStart"/>
            <w:r w:rsidRPr="00B75F78">
              <w:rPr>
                <w:rFonts w:ascii="Arial" w:hAnsi="Arial" w:cs="Arial"/>
                <w:sz w:val="24"/>
                <w:szCs w:val="24"/>
              </w:rPr>
              <w:t>w</w:t>
            </w:r>
            <w:proofErr w:type="gramEnd"/>
            <w:r w:rsidRPr="00B75F78">
              <w:rPr>
                <w:rFonts w:ascii="Arial" w:hAnsi="Arial" w:cs="Arial"/>
                <w:sz w:val="24"/>
                <w:szCs w:val="24"/>
              </w:rPr>
              <w:t xml:space="preserve"> roku 2022</w:t>
            </w:r>
          </w:p>
        </w:tc>
        <w:tc>
          <w:tcPr>
            <w:tcW w:w="1843" w:type="dxa"/>
            <w:gridSpan w:val="5"/>
            <w:tcBorders>
              <w:top w:val="single" w:sz="2" w:space="0" w:color="auto"/>
              <w:bottom w:val="single" w:sz="2" w:space="0" w:color="auto"/>
            </w:tcBorders>
            <w:shd w:val="clear" w:color="auto" w:fill="CCC0D9"/>
            <w:vAlign w:val="center"/>
          </w:tcPr>
          <w:p w14:paraId="5765B818" w14:textId="77777777" w:rsidR="00B75F78" w:rsidRPr="00B75F78" w:rsidRDefault="00B75F78" w:rsidP="00B75F78">
            <w:pPr>
              <w:spacing w:before="120" w:after="120"/>
              <w:rPr>
                <w:rFonts w:ascii="Arial" w:hAnsi="Arial" w:cs="Arial"/>
                <w:sz w:val="24"/>
                <w:szCs w:val="24"/>
              </w:rPr>
            </w:pPr>
            <w:proofErr w:type="gramStart"/>
            <w:r w:rsidRPr="00B75F78">
              <w:rPr>
                <w:rFonts w:ascii="Arial" w:hAnsi="Arial" w:cs="Arial"/>
                <w:sz w:val="24"/>
                <w:szCs w:val="24"/>
              </w:rPr>
              <w:t>w</w:t>
            </w:r>
            <w:proofErr w:type="gramEnd"/>
            <w:r w:rsidRPr="00B75F78">
              <w:rPr>
                <w:rFonts w:ascii="Arial" w:hAnsi="Arial" w:cs="Arial"/>
                <w:sz w:val="24"/>
                <w:szCs w:val="24"/>
              </w:rPr>
              <w:t xml:space="preserve"> roku 2023</w:t>
            </w:r>
          </w:p>
        </w:tc>
        <w:tc>
          <w:tcPr>
            <w:tcW w:w="2272" w:type="dxa"/>
            <w:gridSpan w:val="3"/>
            <w:tcBorders>
              <w:top w:val="single" w:sz="2" w:space="0" w:color="auto"/>
              <w:bottom w:val="single" w:sz="2" w:space="0" w:color="auto"/>
            </w:tcBorders>
            <w:shd w:val="clear" w:color="auto" w:fill="CCC0D9"/>
            <w:vAlign w:val="center"/>
          </w:tcPr>
          <w:p w14:paraId="7454526C" w14:textId="77777777" w:rsidR="00B75F78" w:rsidRPr="00B75F78" w:rsidRDefault="00B75F78" w:rsidP="00B75F78">
            <w:pPr>
              <w:spacing w:before="120" w:after="120"/>
              <w:rPr>
                <w:rFonts w:ascii="Arial" w:hAnsi="Arial" w:cs="Arial"/>
                <w:sz w:val="24"/>
                <w:szCs w:val="24"/>
              </w:rPr>
            </w:pPr>
            <w:proofErr w:type="gramStart"/>
            <w:r w:rsidRPr="00B75F78">
              <w:rPr>
                <w:rFonts w:ascii="Arial" w:hAnsi="Arial" w:cs="Arial"/>
                <w:sz w:val="24"/>
                <w:szCs w:val="24"/>
              </w:rPr>
              <w:t>ogółem</w:t>
            </w:r>
            <w:proofErr w:type="gramEnd"/>
          </w:p>
        </w:tc>
      </w:tr>
      <w:tr w:rsidR="00B75F78" w:rsidRPr="00B75F78" w14:paraId="167705DD" w14:textId="77777777" w:rsidTr="00B81D3B">
        <w:trPr>
          <w:trHeight w:val="567"/>
        </w:trPr>
        <w:tc>
          <w:tcPr>
            <w:tcW w:w="1841" w:type="dxa"/>
            <w:gridSpan w:val="2"/>
            <w:tcBorders>
              <w:top w:val="single" w:sz="2" w:space="0" w:color="auto"/>
              <w:bottom w:val="single" w:sz="2" w:space="0" w:color="auto"/>
            </w:tcBorders>
            <w:shd w:val="clear" w:color="auto" w:fill="FFFFFF"/>
            <w:vAlign w:val="center"/>
          </w:tcPr>
          <w:p w14:paraId="0DA118C0"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200 000,00</w:t>
            </w:r>
          </w:p>
        </w:tc>
        <w:tc>
          <w:tcPr>
            <w:tcW w:w="1703" w:type="dxa"/>
            <w:gridSpan w:val="3"/>
            <w:tcBorders>
              <w:top w:val="single" w:sz="2" w:space="0" w:color="auto"/>
              <w:bottom w:val="single" w:sz="2" w:space="0" w:color="auto"/>
            </w:tcBorders>
            <w:shd w:val="clear" w:color="auto" w:fill="FFFFFF"/>
            <w:vAlign w:val="center"/>
          </w:tcPr>
          <w:p w14:paraId="783F2D8D"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9 900 000,00</w:t>
            </w:r>
          </w:p>
        </w:tc>
        <w:tc>
          <w:tcPr>
            <w:tcW w:w="1697" w:type="dxa"/>
            <w:gridSpan w:val="4"/>
            <w:tcBorders>
              <w:top w:val="single" w:sz="2" w:space="0" w:color="auto"/>
              <w:bottom w:val="single" w:sz="2" w:space="0" w:color="auto"/>
            </w:tcBorders>
            <w:shd w:val="clear" w:color="auto" w:fill="FFFFFF"/>
            <w:vAlign w:val="center"/>
          </w:tcPr>
          <w:p w14:paraId="2AC37615"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9 900 000,00</w:t>
            </w:r>
          </w:p>
        </w:tc>
        <w:tc>
          <w:tcPr>
            <w:tcW w:w="1843" w:type="dxa"/>
            <w:gridSpan w:val="5"/>
            <w:tcBorders>
              <w:top w:val="single" w:sz="2" w:space="0" w:color="auto"/>
              <w:bottom w:val="single" w:sz="2" w:space="0" w:color="auto"/>
            </w:tcBorders>
            <w:shd w:val="clear" w:color="auto" w:fill="FFFFFF"/>
            <w:vAlign w:val="center"/>
          </w:tcPr>
          <w:p w14:paraId="2795C0D9"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15 000 000,00</w:t>
            </w:r>
          </w:p>
        </w:tc>
        <w:tc>
          <w:tcPr>
            <w:tcW w:w="2272" w:type="dxa"/>
            <w:gridSpan w:val="3"/>
            <w:tcBorders>
              <w:top w:val="single" w:sz="2" w:space="0" w:color="auto"/>
              <w:bottom w:val="single" w:sz="2" w:space="0" w:color="auto"/>
            </w:tcBorders>
            <w:shd w:val="clear" w:color="auto" w:fill="FFFFFF"/>
            <w:vAlign w:val="center"/>
          </w:tcPr>
          <w:p w14:paraId="371407AB"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35 000 000,00</w:t>
            </w:r>
          </w:p>
        </w:tc>
      </w:tr>
      <w:tr w:rsidR="00B75F78" w:rsidRPr="00B75F78" w14:paraId="04C806B7" w14:textId="77777777" w:rsidTr="00B81D3B">
        <w:trPr>
          <w:trHeight w:val="567"/>
        </w:trPr>
        <w:tc>
          <w:tcPr>
            <w:tcW w:w="9356" w:type="dxa"/>
            <w:gridSpan w:val="17"/>
            <w:tcBorders>
              <w:top w:val="single" w:sz="2" w:space="0" w:color="auto"/>
              <w:bottom w:val="single" w:sz="2" w:space="0" w:color="auto"/>
            </w:tcBorders>
            <w:shd w:val="clear" w:color="auto" w:fill="CCC0D9"/>
            <w:vAlign w:val="center"/>
          </w:tcPr>
          <w:p w14:paraId="6F28A17C"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Szacowany wkład własny beneficjenta (PLN)</w:t>
            </w:r>
          </w:p>
        </w:tc>
      </w:tr>
      <w:tr w:rsidR="00B75F78" w:rsidRPr="00B75F78" w14:paraId="58987208" w14:textId="77777777" w:rsidTr="00B81D3B">
        <w:trPr>
          <w:trHeight w:val="567"/>
        </w:trPr>
        <w:tc>
          <w:tcPr>
            <w:tcW w:w="1130" w:type="dxa"/>
            <w:tcBorders>
              <w:top w:val="single" w:sz="2" w:space="0" w:color="auto"/>
              <w:bottom w:val="single" w:sz="2" w:space="0" w:color="auto"/>
            </w:tcBorders>
            <w:shd w:val="clear" w:color="auto" w:fill="CCC0D9"/>
            <w:vAlign w:val="center"/>
          </w:tcPr>
          <w:p w14:paraId="08B646EB" w14:textId="77777777" w:rsidR="00B75F78" w:rsidRPr="00B75F78" w:rsidRDefault="00B75F78" w:rsidP="00B75F78">
            <w:pPr>
              <w:spacing w:before="120" w:after="120"/>
              <w:jc w:val="center"/>
              <w:rPr>
                <w:rFonts w:ascii="Arial" w:hAnsi="Arial" w:cs="Arial"/>
                <w:sz w:val="24"/>
                <w:szCs w:val="24"/>
              </w:rPr>
            </w:pPr>
            <w:r w:rsidRPr="00B75F78">
              <w:rPr>
                <w:rFonts w:ascii="Arial" w:hAnsi="Arial" w:cs="Arial"/>
                <w:sz w:val="24"/>
                <w:szCs w:val="24"/>
              </w:rPr>
              <w:t>TAK</w:t>
            </w:r>
          </w:p>
        </w:tc>
        <w:tc>
          <w:tcPr>
            <w:tcW w:w="5097" w:type="dxa"/>
            <w:gridSpan w:val="12"/>
            <w:tcBorders>
              <w:top w:val="single" w:sz="2" w:space="0" w:color="auto"/>
              <w:bottom w:val="single" w:sz="2" w:space="0" w:color="auto"/>
            </w:tcBorders>
            <w:shd w:val="clear" w:color="auto" w:fill="FFFFFF"/>
            <w:vAlign w:val="center"/>
          </w:tcPr>
          <w:p w14:paraId="53CB4DD5" w14:textId="77777777" w:rsidR="00B75F78" w:rsidRPr="00B75F78" w:rsidRDefault="00B75F78" w:rsidP="00B75F78">
            <w:pPr>
              <w:spacing w:before="120" w:after="120"/>
              <w:jc w:val="center"/>
              <w:rPr>
                <w:rFonts w:ascii="Arial" w:hAnsi="Arial" w:cs="Arial"/>
                <w:sz w:val="24"/>
                <w:szCs w:val="24"/>
              </w:rPr>
            </w:pPr>
            <w:r w:rsidRPr="00B75F78">
              <w:rPr>
                <w:rFonts w:ascii="Arial" w:hAnsi="Arial" w:cs="Arial"/>
                <w:sz w:val="24"/>
                <w:szCs w:val="24"/>
              </w:rPr>
              <w:t>...……………………………….…………………………… (PLN)</w:t>
            </w:r>
          </w:p>
        </w:tc>
        <w:tc>
          <w:tcPr>
            <w:tcW w:w="1135" w:type="dxa"/>
            <w:gridSpan w:val="2"/>
            <w:tcBorders>
              <w:top w:val="single" w:sz="2" w:space="0" w:color="auto"/>
              <w:bottom w:val="single" w:sz="2" w:space="0" w:color="auto"/>
            </w:tcBorders>
            <w:shd w:val="clear" w:color="auto" w:fill="CCC0D9"/>
            <w:vAlign w:val="center"/>
          </w:tcPr>
          <w:p w14:paraId="3975C184" w14:textId="77777777" w:rsidR="00B75F78" w:rsidRPr="00B75F78" w:rsidRDefault="00B75F78" w:rsidP="00B75F78">
            <w:pPr>
              <w:spacing w:before="120" w:after="120"/>
              <w:jc w:val="center"/>
              <w:rPr>
                <w:rFonts w:ascii="Arial" w:hAnsi="Arial" w:cs="Arial"/>
                <w:sz w:val="24"/>
                <w:szCs w:val="24"/>
              </w:rPr>
            </w:pPr>
            <w:r w:rsidRPr="00B75F78">
              <w:rPr>
                <w:rFonts w:ascii="Arial" w:hAnsi="Arial" w:cs="Arial"/>
                <w:sz w:val="24"/>
                <w:szCs w:val="24"/>
              </w:rPr>
              <w:t>NIE</w:t>
            </w:r>
          </w:p>
        </w:tc>
        <w:tc>
          <w:tcPr>
            <w:tcW w:w="1994" w:type="dxa"/>
            <w:gridSpan w:val="2"/>
            <w:tcBorders>
              <w:top w:val="single" w:sz="2" w:space="0" w:color="auto"/>
              <w:bottom w:val="single" w:sz="2" w:space="0" w:color="auto"/>
            </w:tcBorders>
            <w:shd w:val="clear" w:color="auto" w:fill="FFFFFF"/>
            <w:vAlign w:val="center"/>
          </w:tcPr>
          <w:p w14:paraId="758DB653" w14:textId="77777777" w:rsidR="00B75F78" w:rsidRPr="00B75F78" w:rsidRDefault="00B75F78" w:rsidP="00B75F78">
            <w:pPr>
              <w:spacing w:before="120" w:after="120"/>
              <w:jc w:val="center"/>
              <w:rPr>
                <w:rFonts w:ascii="Arial" w:hAnsi="Arial" w:cs="Arial"/>
                <w:sz w:val="24"/>
                <w:szCs w:val="24"/>
              </w:rPr>
            </w:pPr>
            <w:r w:rsidRPr="00B75F78">
              <w:rPr>
                <w:rFonts w:ascii="Arial" w:hAnsi="Arial" w:cs="Arial"/>
                <w:sz w:val="24"/>
                <w:szCs w:val="24"/>
              </w:rPr>
              <w:t>X</w:t>
            </w:r>
          </w:p>
        </w:tc>
      </w:tr>
      <w:tr w:rsidR="00B75F78" w:rsidRPr="00B75F78" w14:paraId="2FA50686" w14:textId="77777777" w:rsidTr="00B81D3B">
        <w:trPr>
          <w:trHeight w:val="567"/>
        </w:trPr>
        <w:tc>
          <w:tcPr>
            <w:tcW w:w="9356" w:type="dxa"/>
            <w:gridSpan w:val="17"/>
            <w:tcBorders>
              <w:top w:val="single" w:sz="2" w:space="0" w:color="auto"/>
              <w:bottom w:val="single" w:sz="2" w:space="0" w:color="auto"/>
            </w:tcBorders>
            <w:shd w:val="clear" w:color="auto" w:fill="CCC0D9"/>
            <w:vAlign w:val="center"/>
          </w:tcPr>
          <w:p w14:paraId="6B5B7BB0"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Szacowany wkład UE (PLN)</w:t>
            </w:r>
          </w:p>
        </w:tc>
      </w:tr>
      <w:tr w:rsidR="00B75F78" w:rsidRPr="00B75F78" w14:paraId="10D572B7" w14:textId="77777777" w:rsidTr="00B81D3B">
        <w:trPr>
          <w:trHeight w:val="567"/>
        </w:trPr>
        <w:tc>
          <w:tcPr>
            <w:tcW w:w="9356" w:type="dxa"/>
            <w:gridSpan w:val="17"/>
            <w:tcBorders>
              <w:top w:val="single" w:sz="2" w:space="0" w:color="auto"/>
              <w:bottom w:val="single" w:sz="12" w:space="0" w:color="auto"/>
            </w:tcBorders>
            <w:shd w:val="clear" w:color="auto" w:fill="FFFFFF"/>
            <w:vAlign w:val="center"/>
          </w:tcPr>
          <w:p w14:paraId="68F8189F" w14:textId="77777777" w:rsidR="00B75F78" w:rsidRPr="00B75F78" w:rsidRDefault="00B75F78" w:rsidP="00B75F78">
            <w:pPr>
              <w:spacing w:before="120" w:after="120"/>
              <w:rPr>
                <w:rFonts w:ascii="Arial" w:hAnsi="Arial" w:cs="Arial"/>
                <w:b/>
                <w:bCs/>
                <w:sz w:val="24"/>
                <w:szCs w:val="24"/>
              </w:rPr>
            </w:pPr>
            <w:r w:rsidRPr="00B75F78">
              <w:rPr>
                <w:rFonts w:ascii="Arial" w:hAnsi="Arial" w:cs="Arial"/>
                <w:b/>
                <w:bCs/>
                <w:sz w:val="24"/>
                <w:szCs w:val="24"/>
              </w:rPr>
              <w:t>29 498 000,00 PLN</w:t>
            </w:r>
          </w:p>
        </w:tc>
      </w:tr>
      <w:tr w:rsidR="00B75F78" w:rsidRPr="00B75F78" w14:paraId="4B6C67A7" w14:textId="77777777" w:rsidTr="00B81D3B">
        <w:trPr>
          <w:trHeight w:val="567"/>
        </w:trPr>
        <w:tc>
          <w:tcPr>
            <w:tcW w:w="9356" w:type="dxa"/>
            <w:gridSpan w:val="17"/>
            <w:tcBorders>
              <w:top w:val="single" w:sz="12" w:space="0" w:color="auto"/>
              <w:bottom w:val="single" w:sz="12" w:space="0" w:color="auto"/>
            </w:tcBorders>
            <w:shd w:val="clear" w:color="auto" w:fill="CCC0D9"/>
            <w:vAlign w:val="center"/>
          </w:tcPr>
          <w:p w14:paraId="679E9FFC" w14:textId="77777777" w:rsidR="00B75F78" w:rsidRPr="00B75F78" w:rsidRDefault="00B75F78" w:rsidP="00B75F78">
            <w:pPr>
              <w:spacing w:before="120" w:after="120"/>
              <w:rPr>
                <w:rFonts w:ascii="Arial" w:hAnsi="Arial" w:cs="Arial"/>
                <w:b/>
                <w:sz w:val="28"/>
                <w:szCs w:val="28"/>
              </w:rPr>
            </w:pPr>
            <w:r w:rsidRPr="00B75F78">
              <w:rPr>
                <w:rFonts w:ascii="Arial" w:hAnsi="Arial" w:cs="Arial"/>
                <w:b/>
                <w:sz w:val="28"/>
                <w:szCs w:val="28"/>
              </w:rPr>
              <w:t>OPIS PROJEKTU</w:t>
            </w:r>
          </w:p>
        </w:tc>
      </w:tr>
      <w:tr w:rsidR="00B75F78" w:rsidRPr="00B75F78" w14:paraId="32A07100" w14:textId="77777777" w:rsidTr="00B81D3B">
        <w:trPr>
          <w:trHeight w:val="567"/>
        </w:trPr>
        <w:tc>
          <w:tcPr>
            <w:tcW w:w="9356" w:type="dxa"/>
            <w:gridSpan w:val="17"/>
            <w:tcBorders>
              <w:top w:val="single" w:sz="12" w:space="0" w:color="auto"/>
              <w:bottom w:val="single" w:sz="4" w:space="0" w:color="auto"/>
            </w:tcBorders>
            <w:shd w:val="clear" w:color="auto" w:fill="CCC0D9"/>
            <w:vAlign w:val="center"/>
          </w:tcPr>
          <w:p w14:paraId="18D15B18"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Uzasadnienie realizacji projektu w trybie pozakonkursowym</w:t>
            </w:r>
            <w:r w:rsidRPr="00B75F78">
              <w:rPr>
                <w:rFonts w:ascii="Arial" w:hAnsi="Arial" w:cs="Arial"/>
                <w:sz w:val="24"/>
                <w:szCs w:val="24"/>
                <w:vertAlign w:val="superscript"/>
              </w:rPr>
              <w:footnoteReference w:id="6"/>
            </w:r>
          </w:p>
        </w:tc>
      </w:tr>
      <w:tr w:rsidR="00B75F78" w:rsidRPr="00B75F78" w14:paraId="0924FD14" w14:textId="77777777" w:rsidTr="00B81D3B">
        <w:trPr>
          <w:trHeight w:val="567"/>
        </w:trPr>
        <w:tc>
          <w:tcPr>
            <w:tcW w:w="9356" w:type="dxa"/>
            <w:gridSpan w:val="17"/>
            <w:tcBorders>
              <w:top w:val="single" w:sz="4" w:space="0" w:color="auto"/>
              <w:bottom w:val="single" w:sz="4" w:space="0" w:color="auto"/>
            </w:tcBorders>
            <w:shd w:val="clear" w:color="auto" w:fill="auto"/>
            <w:vAlign w:val="center"/>
          </w:tcPr>
          <w:p w14:paraId="501BD934"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 xml:space="preserve">Mając na uwadze art. 38 ust. 2 i 3 ustawy z dnia 11 lipca 2014 r. o zasadach realizacji programów w zakresie polityki spójności finansowanych w perspektywie finansowej 2014-2020 (Dz.U. </w:t>
            </w:r>
            <w:proofErr w:type="gramStart"/>
            <w:r w:rsidRPr="00B75F78">
              <w:rPr>
                <w:rFonts w:ascii="Arial" w:hAnsi="Arial" w:cs="Arial"/>
                <w:sz w:val="24"/>
                <w:szCs w:val="24"/>
              </w:rPr>
              <w:t>z</w:t>
            </w:r>
            <w:proofErr w:type="gramEnd"/>
            <w:r w:rsidRPr="00B75F78">
              <w:rPr>
                <w:rFonts w:ascii="Arial" w:hAnsi="Arial" w:cs="Arial"/>
                <w:sz w:val="24"/>
                <w:szCs w:val="24"/>
              </w:rPr>
              <w:t xml:space="preserve"> 2018 r. poz. 1431 ze zm.) oraz podrozdział 5.2.1. Polityka spójności rozdziału 5.2 Zasady wyboru projektów Umowy Partnerstwa z dnia 21 maja 2014 r. wskazuje się na konieczność realizacji projektu pn. „Zapewnienie dostępu do wymiaru sprawiedliwości dla osób z niepełnosprawnościami” w trybie pozakonkursowym. Zgodnie z treścią art. 38 ust. 3 wspomnianej ustawy w trybie </w:t>
            </w:r>
            <w:r w:rsidRPr="00B75F78">
              <w:rPr>
                <w:rFonts w:ascii="Arial" w:hAnsi="Arial" w:cs="Arial"/>
                <w:sz w:val="24"/>
                <w:szCs w:val="24"/>
              </w:rPr>
              <w:lastRenderedPageBreak/>
              <w:t xml:space="preserve">pozakonkursowym mogą być wybierane wyłącznie projekty o strategicznym znaczeniu dla społeczno-gospodarczego rozwoju kraju lub projekty dotyczące realizacji zadań publicznych, zaś z zasad polityki spójności wynika bezpośrednio, że tryb pozakonkursowy jest możliwy do zastosowania w szczególności w przypadku występowania monopolu kompetencyjnego. </w:t>
            </w:r>
          </w:p>
          <w:p w14:paraId="57686F50"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Projekt pn. „Zapewnienie dostępu do wymiaru sprawiedliwości dla osób z niepełnosprawnościami” wpisuje się w kierunki strategiczne Strategii modernizacji przestrzeni sprawiedliwości w Polsce na lata 2014-2020, którą realizuje Ministerstwo Sprawiedliwości. Działania na rzecz osób z niepełnosprawnościami realizują podstawowe założenia kierunku strategicznego, jakim są prawa obywatela w przestrzeni sprawiedliwości. Głównymi celami Strategii w perspektywie obywatela jest m.in. dostępność i otwartość wymiaru sprawiedliwości. Rola Ministerstwa Sprawiedliwości w ramach przestrzeni sprawiedliwości jest zdefiniowana przepisami prawa. Kompetencje w tym zakresie obejmują rolę legislacyjną, organizacyjną w zakresie sposobu wykonywania pracy i alokacji zasobów, zarówno finansowych, jak i ludzkich. Kompetencje te oznaczają w ramach strategii pełnienie roli koordynacyjnej w zakresie wdrożenia strategii, wspierającej procesy zachodzące w przestrzeni sprawiedliwości.</w:t>
            </w:r>
          </w:p>
          <w:p w14:paraId="5C833E95"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 xml:space="preserve">Projekt niniejszy wpisuje się również w przygotowywaną przez Ministerstwo Rodziny, Pracy i Polityki Społecznej Strategię na rzecz Osób z Niepełnosprawnościami 2020 – 2030, która została przewidziana w Strategii na rzecz Odpowiedzialnego Rozwoju (SOR), gdzie zaprezentowany został model zrównoważonego społecznie rozwoju, uwzględniający potencjał wszystkich grup społecznych. Strategia na rzecz Osób z Niepełnosprawnościami 2020-2030 będzie stanowić jedno z narzędzi realizacji celu szczegółowego „Rozwój społecznie wrażliwy i terytorialnie zrównoważony”. Ze względu na swój kompleksowy charakter, działania zawarte w niniejszej Strategii przyczynią się również do osiągnięcia pozostałych celów zapisanych w SOR. Strategia na rzecz Osób z Niepełnosprawnościami obejmuje obszary państwa istotne dla prowadzenia polityki na rzecz osób niepełnosprawnych w sposób horyzontalny. </w:t>
            </w:r>
          </w:p>
          <w:p w14:paraId="3204B0E6"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 xml:space="preserve">Podjęcie działań projektowych na rzecz zwiększenia dostępności do wymiaru sprawiedliwości jest również realizacją wymogów stawianych w rządowym programie Dostępność plus 2018-2025, który wskazuje na potrzebę realizacji prawa dla </w:t>
            </w:r>
            <w:r w:rsidRPr="00B75F78">
              <w:rPr>
                <w:rFonts w:ascii="Arial" w:hAnsi="Arial" w:cs="Arial"/>
                <w:sz w:val="24"/>
                <w:szCs w:val="24"/>
              </w:rPr>
              <w:lastRenderedPageBreak/>
              <w:t>dostępności.</w:t>
            </w:r>
          </w:p>
          <w:p w14:paraId="79032811"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 xml:space="preserve">Ponadto oprócz realizacji celów strategicznych potrzeba realizacji tego typu działań została m.in. zidentyfikowana w ramach opracowywania Standardów Obsługi Interesanta Sądownictwa Powszechnego, stanowiących produkt projektu pozakonkursowego MS realizowanego w ramach PO WER. Działania szkoleniowe zostaną ukierunkowane na wdrażanie zaleceń Komitetu do spraw </w:t>
            </w:r>
            <w:proofErr w:type="gramStart"/>
            <w:r w:rsidRPr="00B75F78">
              <w:rPr>
                <w:rFonts w:ascii="Arial" w:hAnsi="Arial" w:cs="Arial"/>
                <w:sz w:val="24"/>
                <w:szCs w:val="24"/>
              </w:rPr>
              <w:t>Praw</w:t>
            </w:r>
            <w:proofErr w:type="gramEnd"/>
            <w:r w:rsidRPr="00B75F78">
              <w:rPr>
                <w:rFonts w:ascii="Arial" w:hAnsi="Arial" w:cs="Arial"/>
                <w:sz w:val="24"/>
                <w:szCs w:val="24"/>
              </w:rPr>
              <w:t xml:space="preserve"> Osób Niepełnosprawnych w zakresie wdrażania postanowień Konwencji o prawach osób z niepełnosprawnościami opublikowanych we wrześniu 2019 r. Działaniami objęci zostaną przedstawiciele sektora sprawiedliwości mogący mieć kontakt z osobami z niepełnosprawnościami, a więc zarówno kadra orzekająca, jak również pracownicy administracyjni oraz odpowiedzialni za programy szkoleniowe przedstawiciele zawodów prawniczych. W zakresie dostosowania budynków i pomieszczeń sądów do potrzeb osób z niepełnosprawnościami konieczne jest podjęcie działań na rzecz realizacji inwestycji i zakupu sprzętu zgodnie z </w:t>
            </w:r>
            <w:proofErr w:type="spellStart"/>
            <w:r w:rsidRPr="00B75F78">
              <w:rPr>
                <w:rFonts w:ascii="Arial" w:hAnsi="Arial" w:cs="Arial"/>
                <w:sz w:val="24"/>
                <w:szCs w:val="24"/>
              </w:rPr>
              <w:t>zapotrzebowaniami</w:t>
            </w:r>
            <w:proofErr w:type="spellEnd"/>
            <w:r w:rsidRPr="00B75F78">
              <w:rPr>
                <w:rFonts w:ascii="Arial" w:hAnsi="Arial" w:cs="Arial"/>
                <w:sz w:val="24"/>
                <w:szCs w:val="24"/>
              </w:rPr>
              <w:t xml:space="preserve"> zgłoszonymi przez jednostki organizacyjne sądownictwa powszechnego.</w:t>
            </w:r>
          </w:p>
        </w:tc>
      </w:tr>
      <w:tr w:rsidR="00B75F78" w:rsidRPr="00B75F78" w14:paraId="05D1860B" w14:textId="77777777" w:rsidTr="00B81D3B">
        <w:trPr>
          <w:trHeight w:val="567"/>
        </w:trPr>
        <w:tc>
          <w:tcPr>
            <w:tcW w:w="9356" w:type="dxa"/>
            <w:gridSpan w:val="17"/>
            <w:tcBorders>
              <w:top w:val="single" w:sz="4" w:space="0" w:color="auto"/>
              <w:bottom w:val="single" w:sz="4" w:space="0" w:color="auto"/>
            </w:tcBorders>
            <w:shd w:val="clear" w:color="auto" w:fill="CCC0D9"/>
            <w:vAlign w:val="center"/>
          </w:tcPr>
          <w:p w14:paraId="6B0DA721"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lastRenderedPageBreak/>
              <w:t>Zasadnicze założenia interwencji publicznej, której wsparcie zaplanowano w ramach projektu</w:t>
            </w:r>
          </w:p>
        </w:tc>
      </w:tr>
      <w:tr w:rsidR="00B75F78" w:rsidRPr="00B75F78" w14:paraId="5B9018A2" w14:textId="77777777" w:rsidTr="00B81D3B">
        <w:trPr>
          <w:trHeight w:val="567"/>
        </w:trPr>
        <w:tc>
          <w:tcPr>
            <w:tcW w:w="9356" w:type="dxa"/>
            <w:gridSpan w:val="17"/>
            <w:tcBorders>
              <w:top w:val="single" w:sz="4" w:space="0" w:color="auto"/>
              <w:bottom w:val="single" w:sz="4" w:space="0" w:color="auto"/>
            </w:tcBorders>
            <w:shd w:val="clear" w:color="auto" w:fill="auto"/>
            <w:vAlign w:val="center"/>
          </w:tcPr>
          <w:p w14:paraId="520FFA95" w14:textId="77777777" w:rsidR="00B75F78" w:rsidRPr="00B75F78" w:rsidRDefault="00B75F78" w:rsidP="00B75F78">
            <w:pPr>
              <w:spacing w:before="120" w:after="120" w:line="360" w:lineRule="auto"/>
              <w:rPr>
                <w:rFonts w:ascii="Arial" w:hAnsi="Arial" w:cs="Arial"/>
                <w:bCs/>
                <w:sz w:val="24"/>
                <w:szCs w:val="24"/>
              </w:rPr>
            </w:pPr>
            <w:bookmarkStart w:id="9" w:name="_Hlk41152731"/>
            <w:r w:rsidRPr="00B75F78">
              <w:rPr>
                <w:rFonts w:ascii="Arial" w:hAnsi="Arial" w:cs="Arial"/>
                <w:sz w:val="24"/>
                <w:szCs w:val="24"/>
              </w:rPr>
              <w:t xml:space="preserve">Zasadniczym założeniem interwencji publicznej będzie zapewnienie dostępu do wymiaru sprawiedliwości dla osób z niepełnosprawnościami poprzez zwiększenie dostępności </w:t>
            </w:r>
            <w:r w:rsidRPr="00B75F78">
              <w:rPr>
                <w:rFonts w:ascii="Arial" w:hAnsi="Arial" w:cs="Arial"/>
                <w:bCs/>
                <w:sz w:val="24"/>
                <w:szCs w:val="24"/>
              </w:rPr>
              <w:t xml:space="preserve">architektonicznej, informacyjno-komunikacyjnej i cyfrowej do sądów. Obowiązek taki wynika z obowiązującej w Polsce ustawy o zapewnianiu dostępności osobom ze szczególnym i potrzebami (Dz.U.2019 </w:t>
            </w:r>
            <w:proofErr w:type="gramStart"/>
            <w:r w:rsidRPr="00B75F78">
              <w:rPr>
                <w:rFonts w:ascii="Arial" w:hAnsi="Arial" w:cs="Arial"/>
                <w:bCs/>
                <w:sz w:val="24"/>
                <w:szCs w:val="24"/>
              </w:rPr>
              <w:t>poz</w:t>
            </w:r>
            <w:proofErr w:type="gramEnd"/>
            <w:r w:rsidRPr="00B75F78">
              <w:rPr>
                <w:rFonts w:ascii="Arial" w:hAnsi="Arial" w:cs="Arial"/>
                <w:bCs/>
                <w:sz w:val="24"/>
                <w:szCs w:val="24"/>
              </w:rPr>
              <w:t xml:space="preserve">. 1696, dalej zwana: ustawą o zapewnieniu dostępności osobom ze szczególnymi potrzebami). Ten akt prawny nakłada na podmioty publiczne, w tym również sądy, minimalne obowiązki zapewniające dostępność wymienione w art. 6 w/w ustawy. Ustawa ta jest naczelnym aktem prawnym służącym realizacji programu „Dostępność Plus”, ponadto została stworzona zgodnie z zapisami Konwencji ONZ O Prawach Osób Niepełnosprawnych. Art. 13 Konwencji stanowi, że </w:t>
            </w:r>
            <w:r w:rsidRPr="00B75F78">
              <w:rPr>
                <w:rFonts w:ascii="Arial" w:eastAsia="Times New Roman" w:hAnsi="Arial" w:cs="Arial"/>
                <w:color w:val="000000"/>
                <w:sz w:val="24"/>
                <w:szCs w:val="24"/>
                <w:lang w:eastAsia="pl-PL"/>
              </w:rPr>
              <w:t xml:space="preserve">osobom niepełnosprawnym zostanie zagwarantowany skuteczny dostęp do wymiaru sprawiedliwości na równych zasadach z innymi obywatelami. Ponadto, zgodnie z art. 12 Konwencji osoby niepełnosprawne mają taką samą zdolność prawną we wszystkich aspektach życia jak inni obywatele. Realizacja zasady dostępu osób z niepełnosprawnościami do wymiaru sprawiedliwości pozostaje </w:t>
            </w:r>
            <w:r w:rsidRPr="00B75F78">
              <w:rPr>
                <w:rFonts w:ascii="Arial" w:eastAsia="Times New Roman" w:hAnsi="Arial" w:cs="Arial"/>
                <w:color w:val="000000"/>
                <w:sz w:val="24"/>
                <w:szCs w:val="24"/>
                <w:lang w:eastAsia="pl-PL"/>
              </w:rPr>
              <w:lastRenderedPageBreak/>
              <w:t>w ścisłym związku z Art. 2 Konwencji o zakazie dyskryminacji. Należy pamiętać, że: „nie można mówić o zapewnieniu skutecznego dostępu do wymiaru sprawiedliwości, jeżeli budynki, w których znajdują się organy ścigania i organy sądownicze, obiekty, w których świadczone są tego rodzaju usługi, a także informacja i komunikacja, nie są dostępne dla osób niepełnosprawnych” (Biuletyn RPO 2016 nr 7).</w:t>
            </w:r>
          </w:p>
          <w:p w14:paraId="4A0D14DF" w14:textId="77777777" w:rsidR="00B75F78" w:rsidRPr="00B75F78" w:rsidRDefault="00B75F78" w:rsidP="00B75F78">
            <w:pPr>
              <w:spacing w:before="120" w:after="120" w:line="360" w:lineRule="auto"/>
              <w:rPr>
                <w:rFonts w:ascii="Arial" w:hAnsi="Arial" w:cs="Arial"/>
                <w:bCs/>
                <w:sz w:val="24"/>
                <w:szCs w:val="24"/>
              </w:rPr>
            </w:pPr>
            <w:r w:rsidRPr="00B75F78">
              <w:rPr>
                <w:rFonts w:ascii="Arial" w:hAnsi="Arial" w:cs="Arial"/>
                <w:bCs/>
                <w:sz w:val="24"/>
                <w:szCs w:val="24"/>
              </w:rPr>
              <w:t>W ramach projektu zostanie wybrana grupa ekspertów (Zespół Doradczy)</w:t>
            </w:r>
            <w:r w:rsidRPr="00B75F78">
              <w:rPr>
                <w:rFonts w:ascii="Arial" w:hAnsi="Arial" w:cs="Arial"/>
                <w:bCs/>
                <w:color w:val="FF0000"/>
                <w:sz w:val="24"/>
                <w:szCs w:val="24"/>
              </w:rPr>
              <w:t xml:space="preserve"> </w:t>
            </w:r>
            <w:r w:rsidRPr="00B75F78">
              <w:rPr>
                <w:rFonts w:ascii="Arial" w:hAnsi="Arial" w:cs="Arial"/>
                <w:bCs/>
                <w:sz w:val="24"/>
                <w:szCs w:val="24"/>
              </w:rPr>
              <w:t xml:space="preserve">posiadających wiedzę z zakresu potrzeb osób z niepełnosprawnościami oraz dostępności architektonicznej, informacyjno-komunikacyjnej, cyfrowej, znajomości przepisów prawa procesowego i materialnego, a także organizacji i specyfiki funkcjonowania sądów powszechnych w celu opracowania założeń </w:t>
            </w:r>
            <w:r w:rsidRPr="00B75F78">
              <w:rPr>
                <w:rFonts w:ascii="Arial" w:hAnsi="Arial" w:cs="Arial"/>
                <w:sz w:val="24"/>
                <w:szCs w:val="24"/>
              </w:rPr>
              <w:t>programowych szkoleń dla pracowników wymiaru sprawiedliwości, ale przede wszystkim</w:t>
            </w:r>
            <w:r w:rsidRPr="00B75F78">
              <w:rPr>
                <w:rFonts w:ascii="Arial" w:hAnsi="Arial" w:cs="Arial"/>
                <w:bCs/>
                <w:sz w:val="24"/>
                <w:szCs w:val="24"/>
              </w:rPr>
              <w:t xml:space="preserve"> Modelu Dostępnego Sądu</w:t>
            </w:r>
            <w:r w:rsidRPr="00B75F78">
              <w:rPr>
                <w:rFonts w:ascii="Arial" w:hAnsi="Arial" w:cs="Arial"/>
                <w:sz w:val="24"/>
                <w:szCs w:val="24"/>
              </w:rPr>
              <w:t xml:space="preserve">. </w:t>
            </w:r>
          </w:p>
          <w:p w14:paraId="72E69AAE" w14:textId="77777777" w:rsidR="00B75F78" w:rsidRPr="00B75F78" w:rsidRDefault="00B75F78" w:rsidP="00B75F78">
            <w:pPr>
              <w:spacing w:before="120" w:after="120" w:line="360" w:lineRule="auto"/>
              <w:rPr>
                <w:rFonts w:ascii="Arial" w:hAnsi="Arial" w:cs="Arial"/>
                <w:bCs/>
                <w:sz w:val="24"/>
                <w:szCs w:val="24"/>
              </w:rPr>
            </w:pPr>
            <w:r w:rsidRPr="00B75F78">
              <w:rPr>
                <w:rFonts w:ascii="Arial" w:hAnsi="Arial" w:cs="Arial"/>
                <w:bCs/>
                <w:sz w:val="24"/>
                <w:szCs w:val="24"/>
              </w:rPr>
              <w:t xml:space="preserve">Wskazane w modelu rozwiązania będą </w:t>
            </w:r>
            <w:proofErr w:type="gramStart"/>
            <w:r w:rsidRPr="00B75F78">
              <w:rPr>
                <w:rFonts w:ascii="Arial" w:hAnsi="Arial" w:cs="Arial"/>
                <w:bCs/>
                <w:sz w:val="24"/>
                <w:szCs w:val="24"/>
              </w:rPr>
              <w:t>traktowane jako</w:t>
            </w:r>
            <w:proofErr w:type="gramEnd"/>
            <w:r w:rsidRPr="00B75F78">
              <w:rPr>
                <w:rFonts w:ascii="Arial" w:hAnsi="Arial" w:cs="Arial"/>
                <w:bCs/>
                <w:sz w:val="24"/>
                <w:szCs w:val="24"/>
              </w:rPr>
              <w:t xml:space="preserve"> wytyczne dla instytucji wymiaru sprawiedliwości w celu poprawy swojego funkcjonowania i dostosowania do potrzeb i możliwości osób z niepełnosprawnościami.</w:t>
            </w:r>
          </w:p>
          <w:p w14:paraId="13C90617" w14:textId="77777777" w:rsidR="00B75F78" w:rsidRPr="00B75F78" w:rsidRDefault="00B75F78" w:rsidP="00B75F78">
            <w:pPr>
              <w:spacing w:before="120" w:after="120" w:line="360" w:lineRule="auto"/>
              <w:rPr>
                <w:rFonts w:ascii="Arial" w:hAnsi="Arial" w:cs="Arial"/>
                <w:bCs/>
                <w:sz w:val="24"/>
                <w:szCs w:val="24"/>
              </w:rPr>
            </w:pPr>
            <w:r w:rsidRPr="00B75F78">
              <w:rPr>
                <w:rFonts w:ascii="Arial" w:hAnsi="Arial" w:cs="Arial"/>
                <w:bCs/>
                <w:sz w:val="24"/>
                <w:szCs w:val="24"/>
              </w:rPr>
              <w:t>Model Dostępnego Sądu będzie modelem stopniowalnym, zakładającym dostosowanie sądów do potrzeb osób z niepełnosprawnościami na poziomie minimalnym, średnim oraz maksymalnym. Minimalny poziom określać będzie niezbędne elementy wyposażenia oraz poziom dostosowania architektonicznego budynku umożliwiający korzystanie z budynku sądu przez osoby z niepełnosprawnościami. Wymagania Modelu Dostępnego Sądu na poziomie średnim będą zawierały dodatkowe elementy</w:t>
            </w:r>
            <w:r w:rsidRPr="00B75F78">
              <w:t xml:space="preserve"> </w:t>
            </w:r>
            <w:r w:rsidRPr="00B75F78">
              <w:rPr>
                <w:rFonts w:ascii="Arial" w:hAnsi="Arial" w:cs="Arial"/>
                <w:bCs/>
                <w:sz w:val="24"/>
                <w:szCs w:val="24"/>
              </w:rPr>
              <w:t>z obszaru dostępności architektonicznej, cyfrowej oraz informacyjno-komunikacyjnej, które będą stanowiły kolejny etap przystosowania sądu do optymalnych warunków, jakie będzie oferował poziom maksymalny. Wymagania na poziomie maksymalnym będą wskazówką do osiągnięcia pożądanego stanu dostępności każdego sądu.</w:t>
            </w:r>
            <w:r w:rsidRPr="00B75F78" w:rsidDel="00D32968">
              <w:rPr>
                <w:rFonts w:ascii="Arial" w:hAnsi="Arial" w:cs="Arial"/>
                <w:sz w:val="24"/>
                <w:szCs w:val="24"/>
                <w:lang w:val="x-none"/>
              </w:rPr>
              <w:t xml:space="preserve"> </w:t>
            </w:r>
          </w:p>
          <w:p w14:paraId="21FB6405" w14:textId="77777777" w:rsidR="00B75F78" w:rsidRPr="00B75F78" w:rsidRDefault="00B75F78" w:rsidP="00B75F78">
            <w:pPr>
              <w:spacing w:after="0" w:line="360" w:lineRule="auto"/>
              <w:contextualSpacing/>
              <w:rPr>
                <w:rFonts w:ascii="Arial" w:hAnsi="Arial" w:cs="Arial"/>
                <w:sz w:val="24"/>
                <w:szCs w:val="24"/>
              </w:rPr>
            </w:pPr>
            <w:r w:rsidRPr="00B75F78">
              <w:rPr>
                <w:rFonts w:ascii="Arial" w:hAnsi="Arial" w:cs="Arial"/>
                <w:sz w:val="24"/>
                <w:szCs w:val="24"/>
              </w:rPr>
              <w:t>Model Dostępnego Sądu będzie w szczególności uwzględniać zagadnienia takie jak:</w:t>
            </w:r>
          </w:p>
          <w:p w14:paraId="4438C81E" w14:textId="77777777" w:rsidR="00B75F78" w:rsidRPr="00B75F78" w:rsidRDefault="00B75F78" w:rsidP="00B75F78">
            <w:pPr>
              <w:numPr>
                <w:ilvl w:val="0"/>
                <w:numId w:val="30"/>
              </w:numPr>
              <w:spacing w:after="0" w:line="360" w:lineRule="auto"/>
              <w:contextualSpacing/>
              <w:rPr>
                <w:rFonts w:ascii="Arial" w:hAnsi="Arial" w:cs="Arial"/>
                <w:sz w:val="24"/>
                <w:szCs w:val="24"/>
              </w:rPr>
            </w:pPr>
            <w:proofErr w:type="gramStart"/>
            <w:r w:rsidRPr="00B75F78">
              <w:rPr>
                <w:rFonts w:ascii="Arial" w:hAnsi="Arial" w:cs="Arial"/>
                <w:sz w:val="24"/>
                <w:szCs w:val="24"/>
              </w:rPr>
              <w:t>dostępność</w:t>
            </w:r>
            <w:proofErr w:type="gramEnd"/>
            <w:r w:rsidRPr="00B75F78">
              <w:rPr>
                <w:rFonts w:ascii="Arial" w:hAnsi="Arial" w:cs="Arial"/>
                <w:sz w:val="24"/>
                <w:szCs w:val="24"/>
              </w:rPr>
              <w:t xml:space="preserve"> architektoniczną budynków,</w:t>
            </w:r>
          </w:p>
          <w:p w14:paraId="5161F87F" w14:textId="77777777" w:rsidR="00B75F78" w:rsidRPr="00B75F78" w:rsidRDefault="00B75F78" w:rsidP="00B75F78">
            <w:pPr>
              <w:numPr>
                <w:ilvl w:val="0"/>
                <w:numId w:val="30"/>
              </w:numPr>
              <w:spacing w:after="0" w:line="360" w:lineRule="auto"/>
              <w:contextualSpacing/>
              <w:rPr>
                <w:rFonts w:ascii="Arial" w:hAnsi="Arial" w:cs="Arial"/>
                <w:sz w:val="24"/>
                <w:szCs w:val="24"/>
              </w:rPr>
            </w:pPr>
            <w:proofErr w:type="gramStart"/>
            <w:r w:rsidRPr="00B75F78">
              <w:rPr>
                <w:rFonts w:ascii="Arial" w:hAnsi="Arial" w:cs="Arial"/>
                <w:sz w:val="24"/>
                <w:szCs w:val="24"/>
              </w:rPr>
              <w:t>dostępność</w:t>
            </w:r>
            <w:proofErr w:type="gramEnd"/>
            <w:r w:rsidRPr="00B75F78">
              <w:rPr>
                <w:rFonts w:ascii="Arial" w:hAnsi="Arial" w:cs="Arial"/>
                <w:sz w:val="24"/>
                <w:szCs w:val="24"/>
              </w:rPr>
              <w:t xml:space="preserve"> informacyjno-komunikacyjną,</w:t>
            </w:r>
          </w:p>
          <w:p w14:paraId="3686F28F" w14:textId="77777777" w:rsidR="00B75F78" w:rsidRPr="00B75F78" w:rsidRDefault="00B75F78" w:rsidP="00B75F78">
            <w:pPr>
              <w:numPr>
                <w:ilvl w:val="0"/>
                <w:numId w:val="30"/>
              </w:numPr>
              <w:spacing w:after="0" w:line="360" w:lineRule="auto"/>
              <w:contextualSpacing/>
              <w:rPr>
                <w:rFonts w:ascii="Arial" w:hAnsi="Arial" w:cs="Arial"/>
                <w:sz w:val="24"/>
                <w:szCs w:val="24"/>
              </w:rPr>
            </w:pPr>
            <w:proofErr w:type="gramStart"/>
            <w:r w:rsidRPr="00B75F78">
              <w:rPr>
                <w:rFonts w:ascii="Arial" w:hAnsi="Arial" w:cs="Arial"/>
                <w:sz w:val="24"/>
                <w:szCs w:val="24"/>
              </w:rPr>
              <w:t>dostępność</w:t>
            </w:r>
            <w:proofErr w:type="gramEnd"/>
            <w:r w:rsidRPr="00B75F78">
              <w:rPr>
                <w:rFonts w:ascii="Arial" w:hAnsi="Arial" w:cs="Arial"/>
                <w:sz w:val="24"/>
                <w:szCs w:val="24"/>
              </w:rPr>
              <w:t xml:space="preserve"> cyfrową.</w:t>
            </w:r>
          </w:p>
          <w:p w14:paraId="72142A4B" w14:textId="77777777" w:rsidR="00B75F78" w:rsidRPr="00B75F78" w:rsidRDefault="00B75F78" w:rsidP="00B75F78">
            <w:pPr>
              <w:spacing w:after="0" w:line="360" w:lineRule="auto"/>
              <w:contextualSpacing/>
              <w:rPr>
                <w:rFonts w:ascii="Arial" w:hAnsi="Arial" w:cs="Arial"/>
                <w:sz w:val="24"/>
                <w:szCs w:val="24"/>
              </w:rPr>
            </w:pPr>
          </w:p>
          <w:p w14:paraId="0AA770FE" w14:textId="77777777" w:rsidR="00B75F78" w:rsidRPr="00B75F78" w:rsidRDefault="00B75F78" w:rsidP="00B75F78">
            <w:pPr>
              <w:spacing w:after="0" w:line="360" w:lineRule="auto"/>
              <w:contextualSpacing/>
              <w:rPr>
                <w:rFonts w:ascii="Arial" w:hAnsi="Arial" w:cs="Arial"/>
                <w:sz w:val="24"/>
                <w:szCs w:val="24"/>
              </w:rPr>
            </w:pPr>
            <w:r w:rsidRPr="00B75F78">
              <w:rPr>
                <w:rFonts w:ascii="Arial" w:hAnsi="Arial" w:cs="Arial"/>
                <w:sz w:val="24"/>
                <w:szCs w:val="24"/>
              </w:rPr>
              <w:t xml:space="preserve">Model Dostępnego Sądu będzie określał konkretne wymogi, jakie powinien spełniać </w:t>
            </w:r>
            <w:r w:rsidRPr="00B75F78">
              <w:rPr>
                <w:rFonts w:ascii="Arial" w:hAnsi="Arial" w:cs="Arial"/>
                <w:sz w:val="24"/>
                <w:szCs w:val="24"/>
              </w:rPr>
              <w:lastRenderedPageBreak/>
              <w:t>budynek sądu, na każdym z trzech poziomów w zakresie samodzielnej komunikacji poziomej, pionowej, korzystania z pomieszczeń higieniczno-sanitarnych oraz w zakresie dodatkowego wyposażenia ułatwiającego orientację w budynku oraz przekaz informacji. Do każdego elementu wymienionego w Modelu na poszczególnych poziomach zostanie przypisany procentowy wskaźnik wagi, który w końcowej fazie pozwoli na obiektywną weryfikację wyników wdrożenia modelu w danym sądzie (tj. będzie pozwalał określić, w jakim stopniu wdrożono model w danym sądzie).</w:t>
            </w:r>
          </w:p>
          <w:p w14:paraId="54A6698F" w14:textId="77777777" w:rsidR="00B75F78" w:rsidRPr="00B75F78" w:rsidRDefault="00B75F78" w:rsidP="00B75F78">
            <w:pPr>
              <w:spacing w:after="0" w:line="360" w:lineRule="auto"/>
              <w:contextualSpacing/>
              <w:rPr>
                <w:rFonts w:ascii="Arial" w:hAnsi="Arial" w:cs="Arial"/>
                <w:sz w:val="24"/>
                <w:szCs w:val="24"/>
              </w:rPr>
            </w:pPr>
          </w:p>
          <w:p w14:paraId="0F2C7003" w14:textId="77777777" w:rsidR="00B75F78" w:rsidRPr="00B75F78" w:rsidRDefault="00B75F78" w:rsidP="00B75F78">
            <w:pPr>
              <w:spacing w:after="160" w:line="360" w:lineRule="auto"/>
              <w:rPr>
                <w:rFonts w:ascii="Arial" w:hAnsi="Arial" w:cs="Arial"/>
                <w:sz w:val="24"/>
                <w:szCs w:val="24"/>
              </w:rPr>
            </w:pPr>
            <w:r w:rsidRPr="00B75F78">
              <w:rPr>
                <w:rFonts w:ascii="Arial" w:hAnsi="Arial" w:cs="Arial"/>
                <w:sz w:val="24"/>
                <w:szCs w:val="24"/>
              </w:rPr>
              <w:t xml:space="preserve">Do wypracowania Modelu Dostępnego Sądu Zespół Doradczy zastosuje następujące metody badań: </w:t>
            </w:r>
          </w:p>
          <w:p w14:paraId="36D1ED7F" w14:textId="77777777" w:rsidR="00B75F78" w:rsidRPr="00B75F78" w:rsidRDefault="00B75F78" w:rsidP="00B75F78">
            <w:pPr>
              <w:numPr>
                <w:ilvl w:val="0"/>
                <w:numId w:val="31"/>
              </w:numPr>
              <w:spacing w:after="160" w:line="360" w:lineRule="auto"/>
              <w:contextualSpacing/>
              <w:rPr>
                <w:rFonts w:ascii="Arial" w:eastAsia="Times New Roman" w:hAnsi="Arial" w:cs="Arial"/>
                <w:sz w:val="24"/>
                <w:szCs w:val="24"/>
                <w:lang w:eastAsia="pl-PL"/>
              </w:rPr>
            </w:pPr>
            <w:proofErr w:type="gramStart"/>
            <w:r w:rsidRPr="00B75F78">
              <w:rPr>
                <w:rFonts w:ascii="Arial" w:eastAsia="Times New Roman" w:hAnsi="Arial" w:cs="Arial"/>
                <w:sz w:val="24"/>
                <w:szCs w:val="24"/>
                <w:lang w:eastAsia="pl-PL"/>
              </w:rPr>
              <w:t>badania</w:t>
            </w:r>
            <w:proofErr w:type="gramEnd"/>
            <w:r w:rsidRPr="00B75F78">
              <w:rPr>
                <w:rFonts w:ascii="Arial" w:eastAsia="Times New Roman" w:hAnsi="Arial" w:cs="Arial"/>
                <w:sz w:val="24"/>
                <w:szCs w:val="24"/>
                <w:lang w:eastAsia="pl-PL"/>
              </w:rPr>
              <w:t xml:space="preserve"> i obserwacje bezpośrednie (np. budynków);</w:t>
            </w:r>
          </w:p>
          <w:p w14:paraId="2E90E2C6" w14:textId="77777777" w:rsidR="00B75F78" w:rsidRPr="00B75F78" w:rsidRDefault="00B75F78" w:rsidP="00B75F78">
            <w:pPr>
              <w:numPr>
                <w:ilvl w:val="0"/>
                <w:numId w:val="31"/>
              </w:numPr>
              <w:spacing w:after="160" w:line="360" w:lineRule="auto"/>
              <w:contextualSpacing/>
              <w:rPr>
                <w:rFonts w:ascii="Arial" w:eastAsia="Times New Roman" w:hAnsi="Arial" w:cs="Arial"/>
                <w:sz w:val="24"/>
                <w:szCs w:val="24"/>
                <w:lang w:eastAsia="pl-PL"/>
              </w:rPr>
            </w:pPr>
            <w:proofErr w:type="gramStart"/>
            <w:r w:rsidRPr="00B75F78">
              <w:rPr>
                <w:rFonts w:ascii="Arial" w:eastAsia="Times New Roman" w:hAnsi="Arial" w:cs="Arial"/>
                <w:sz w:val="24"/>
                <w:szCs w:val="24"/>
                <w:lang w:eastAsia="pl-PL"/>
              </w:rPr>
              <w:t>pozyskiwanie</w:t>
            </w:r>
            <w:proofErr w:type="gramEnd"/>
            <w:r w:rsidRPr="00B75F78">
              <w:rPr>
                <w:rFonts w:ascii="Arial" w:eastAsia="Times New Roman" w:hAnsi="Arial" w:cs="Arial"/>
                <w:sz w:val="24"/>
                <w:szCs w:val="24"/>
                <w:lang w:eastAsia="pl-PL"/>
              </w:rPr>
              <w:t xml:space="preserve"> danych od pracowników sądu np. w formie pisemnej (m.in. elektronicznej, wypełnione ankiety, itd.), ustnej (m.in. podczas wywiadów, spotkań, rozmów, itd.), konsultacje z koordynatorami dostępności w sądach;</w:t>
            </w:r>
          </w:p>
          <w:p w14:paraId="0758A445" w14:textId="77777777" w:rsidR="00B75F78" w:rsidRPr="00B75F78" w:rsidRDefault="00B75F78" w:rsidP="00B75F78">
            <w:pPr>
              <w:numPr>
                <w:ilvl w:val="0"/>
                <w:numId w:val="31"/>
              </w:numPr>
              <w:spacing w:after="160" w:line="360" w:lineRule="auto"/>
              <w:contextualSpacing/>
              <w:rPr>
                <w:rFonts w:ascii="Arial" w:eastAsia="Times New Roman" w:hAnsi="Arial" w:cs="Arial"/>
                <w:sz w:val="24"/>
                <w:szCs w:val="24"/>
                <w:lang w:eastAsia="pl-PL"/>
              </w:rPr>
            </w:pPr>
            <w:proofErr w:type="gramStart"/>
            <w:r w:rsidRPr="00B75F78">
              <w:rPr>
                <w:rFonts w:ascii="Arial" w:eastAsia="Times New Roman" w:hAnsi="Arial" w:cs="Arial"/>
                <w:sz w:val="24"/>
                <w:szCs w:val="24"/>
                <w:lang w:eastAsia="pl-PL"/>
              </w:rPr>
              <w:t>analiza</w:t>
            </w:r>
            <w:proofErr w:type="gramEnd"/>
            <w:r w:rsidRPr="00B75F78">
              <w:rPr>
                <w:rFonts w:ascii="Arial" w:eastAsia="Times New Roman" w:hAnsi="Arial" w:cs="Arial"/>
                <w:sz w:val="24"/>
                <w:szCs w:val="24"/>
                <w:lang w:eastAsia="pl-PL"/>
              </w:rPr>
              <w:t xml:space="preserve"> obowiązujących przepisów prawa, w tym regulaminów funkcjonowania sądów</w:t>
            </w:r>
          </w:p>
          <w:p w14:paraId="6EA2927A" w14:textId="77777777" w:rsidR="00B75F78" w:rsidRPr="00B75F78" w:rsidRDefault="00B75F78" w:rsidP="00B75F78">
            <w:pPr>
              <w:numPr>
                <w:ilvl w:val="0"/>
                <w:numId w:val="31"/>
              </w:numPr>
              <w:spacing w:after="160" w:line="360" w:lineRule="auto"/>
              <w:contextualSpacing/>
              <w:rPr>
                <w:rFonts w:ascii="Arial" w:eastAsia="Times New Roman" w:hAnsi="Arial" w:cs="Arial"/>
                <w:sz w:val="24"/>
                <w:szCs w:val="24"/>
                <w:lang w:eastAsia="pl-PL"/>
              </w:rPr>
            </w:pPr>
            <w:proofErr w:type="gramStart"/>
            <w:r w:rsidRPr="00B75F78">
              <w:rPr>
                <w:rFonts w:ascii="Arial" w:eastAsia="Times New Roman" w:hAnsi="Arial" w:cs="Arial"/>
                <w:sz w:val="24"/>
                <w:szCs w:val="24"/>
                <w:lang w:eastAsia="pl-PL"/>
              </w:rPr>
              <w:t>działania</w:t>
            </w:r>
            <w:proofErr w:type="gramEnd"/>
            <w:r w:rsidRPr="00B75F78">
              <w:rPr>
                <w:rFonts w:ascii="Arial" w:eastAsia="Times New Roman" w:hAnsi="Arial" w:cs="Arial"/>
                <w:sz w:val="24"/>
                <w:szCs w:val="24"/>
                <w:lang w:eastAsia="pl-PL"/>
              </w:rPr>
              <w:t xml:space="preserve"> analityczne - badanie związków </w:t>
            </w:r>
            <w:proofErr w:type="spellStart"/>
            <w:r w:rsidRPr="00B75F78">
              <w:rPr>
                <w:rFonts w:ascii="Arial" w:eastAsia="Times New Roman" w:hAnsi="Arial" w:cs="Arial"/>
                <w:sz w:val="24"/>
                <w:szCs w:val="24"/>
                <w:lang w:eastAsia="pl-PL"/>
              </w:rPr>
              <w:t>przyczynowo-skutkowych</w:t>
            </w:r>
            <w:proofErr w:type="spellEnd"/>
            <w:r w:rsidRPr="00B75F78">
              <w:rPr>
                <w:rFonts w:ascii="Arial" w:eastAsia="Times New Roman" w:hAnsi="Arial" w:cs="Arial"/>
                <w:sz w:val="24"/>
                <w:szCs w:val="24"/>
                <w:lang w:eastAsia="pl-PL"/>
              </w:rPr>
              <w:t xml:space="preserve"> i wyciąganie z nich wniosków.</w:t>
            </w:r>
          </w:p>
          <w:p w14:paraId="6DDA40FD" w14:textId="5DFE724E" w:rsidR="00B75F78" w:rsidRPr="00B75F78" w:rsidRDefault="00B75F78" w:rsidP="00B75F78">
            <w:pPr>
              <w:spacing w:line="360" w:lineRule="auto"/>
              <w:rPr>
                <w:rFonts w:ascii="Arial" w:hAnsi="Arial" w:cs="Arial"/>
                <w:sz w:val="24"/>
                <w:szCs w:val="24"/>
              </w:rPr>
            </w:pPr>
            <w:r w:rsidRPr="00B75F78">
              <w:rPr>
                <w:rFonts w:ascii="Arial" w:hAnsi="Arial" w:cs="Arial"/>
                <w:sz w:val="24"/>
                <w:szCs w:val="24"/>
              </w:rPr>
              <w:t xml:space="preserve">Ponadto do opracowania Modelu Dostępnego Sądu wykorzystane zostaną wybrane elementy Modeli Dostępności funkcjonujące w aktualnie prowadzonych innych projektach dotyczących dostępności (np. Dostępna Szkoła, Dostępny Urząd, Dostępny Szpital, Dostępna Uczelnia) z uwzględnieniem specyfiki funkcjonowania i roli instytucji, jaką jest Sąd. </w:t>
            </w:r>
            <w:r w:rsidR="0063410A">
              <w:rPr>
                <w:rFonts w:ascii="Arial" w:hAnsi="Arial" w:cs="Arial"/>
                <w:sz w:val="24"/>
                <w:szCs w:val="24"/>
              </w:rPr>
              <w:t>Opracowany model będzie podlegać konsultacjom.</w:t>
            </w:r>
          </w:p>
          <w:p w14:paraId="68FC0EB0" w14:textId="65B280C8" w:rsidR="00B75F78" w:rsidRPr="00B75F78" w:rsidRDefault="00B75F78" w:rsidP="00B75F78">
            <w:pPr>
              <w:spacing w:before="120" w:after="120" w:line="360" w:lineRule="auto"/>
              <w:rPr>
                <w:rFonts w:ascii="Arial" w:hAnsi="Arial" w:cs="Arial"/>
                <w:bCs/>
                <w:sz w:val="24"/>
                <w:szCs w:val="24"/>
              </w:rPr>
            </w:pPr>
            <w:r w:rsidRPr="00B75F78">
              <w:rPr>
                <w:rFonts w:ascii="Arial" w:hAnsi="Arial" w:cs="Arial"/>
                <w:bCs/>
                <w:sz w:val="24"/>
                <w:szCs w:val="24"/>
              </w:rPr>
              <w:t>Model Dostępnego Sądu będzie wdrażany w sądach objętych wsparciem w ramach projektu. Do udziału w projekcie wybrane zostaną s</w:t>
            </w:r>
            <w:r w:rsidR="0063410A">
              <w:rPr>
                <w:rFonts w:ascii="Arial" w:hAnsi="Arial" w:cs="Arial"/>
                <w:bCs/>
                <w:sz w:val="24"/>
                <w:szCs w:val="24"/>
              </w:rPr>
              <w:t>ą</w:t>
            </w:r>
            <w:r w:rsidRPr="00B75F78">
              <w:rPr>
                <w:rFonts w:ascii="Arial" w:hAnsi="Arial" w:cs="Arial"/>
                <w:bCs/>
                <w:sz w:val="24"/>
                <w:szCs w:val="24"/>
              </w:rPr>
              <w:t xml:space="preserve">dy o najmniejszym stopniu przystosowania dla potrzeb osób z niepełnosprawnościami. Procedura wyboru opierać się będzie na kilkustopniowej weryfikacji. </w:t>
            </w:r>
          </w:p>
          <w:p w14:paraId="28CC5B9E" w14:textId="77777777" w:rsidR="00B75F78" w:rsidRPr="00B75F78" w:rsidRDefault="00B75F78" w:rsidP="00B75F78">
            <w:pPr>
              <w:numPr>
                <w:ilvl w:val="0"/>
                <w:numId w:val="35"/>
              </w:numPr>
              <w:spacing w:before="120" w:after="120" w:line="360" w:lineRule="auto"/>
              <w:rPr>
                <w:rFonts w:ascii="Arial" w:hAnsi="Arial" w:cs="Arial"/>
                <w:bCs/>
                <w:sz w:val="24"/>
                <w:szCs w:val="24"/>
              </w:rPr>
            </w:pPr>
            <w:proofErr w:type="gramStart"/>
            <w:r w:rsidRPr="00B75F78">
              <w:rPr>
                <w:rFonts w:ascii="Arial" w:hAnsi="Arial" w:cs="Arial"/>
                <w:bCs/>
                <w:sz w:val="24"/>
                <w:szCs w:val="24"/>
              </w:rPr>
              <w:t>w</w:t>
            </w:r>
            <w:proofErr w:type="gramEnd"/>
            <w:r w:rsidRPr="00B75F78">
              <w:rPr>
                <w:rFonts w:ascii="Arial" w:hAnsi="Arial" w:cs="Arial"/>
                <w:bCs/>
                <w:sz w:val="24"/>
                <w:szCs w:val="24"/>
              </w:rPr>
              <w:t xml:space="preserve"> pierwszym etapie Sądy Apelacyjne poproszone zostaną o przeprowadzenie wewnętrznej analizy podległych jednostek, z uwzględnieniem założeń opracowanych w Modelu Dostępnego Sądu, na podstawie ankiety stworzonej przez Zespół Doradczy oraz wskazanie pięciu sądów wytypowanych do udziału w projekcie. </w:t>
            </w:r>
          </w:p>
          <w:p w14:paraId="42E38288" w14:textId="77777777" w:rsidR="00B75F78" w:rsidRPr="00B75F78" w:rsidRDefault="00B75F78" w:rsidP="00B75F78">
            <w:pPr>
              <w:numPr>
                <w:ilvl w:val="0"/>
                <w:numId w:val="35"/>
              </w:numPr>
              <w:spacing w:before="120" w:after="120" w:line="360" w:lineRule="auto"/>
              <w:rPr>
                <w:rFonts w:ascii="Arial" w:hAnsi="Arial" w:cs="Arial"/>
                <w:bCs/>
                <w:sz w:val="24"/>
                <w:szCs w:val="24"/>
              </w:rPr>
            </w:pPr>
            <w:proofErr w:type="gramStart"/>
            <w:r w:rsidRPr="00B75F78">
              <w:rPr>
                <w:rFonts w:ascii="Arial" w:hAnsi="Arial" w:cs="Arial"/>
                <w:bCs/>
                <w:sz w:val="24"/>
                <w:szCs w:val="24"/>
              </w:rPr>
              <w:lastRenderedPageBreak/>
              <w:t>w</w:t>
            </w:r>
            <w:proofErr w:type="gramEnd"/>
            <w:r w:rsidRPr="00B75F78">
              <w:rPr>
                <w:rFonts w:ascii="Arial" w:hAnsi="Arial" w:cs="Arial"/>
                <w:bCs/>
                <w:sz w:val="24"/>
                <w:szCs w:val="24"/>
              </w:rPr>
              <w:t xml:space="preserve"> następnym etapie we wskazanych 55 sądach przeprowadzony zostanie zewnętrzny audyt, który oceni poziom dostępności sądów dla osób z niepełnosprawnościami oraz wskaże zakres prac i wymaganych zakupów pozwalający na osiągnięcie przez dany sąd poziomu minimalnego według Modelu Dostępnego Sądu.</w:t>
            </w:r>
          </w:p>
          <w:p w14:paraId="2D1375D9" w14:textId="77777777" w:rsidR="00B75F78" w:rsidRPr="00B75F78" w:rsidRDefault="00B75F78" w:rsidP="00B75F78">
            <w:pPr>
              <w:numPr>
                <w:ilvl w:val="0"/>
                <w:numId w:val="35"/>
              </w:numPr>
              <w:spacing w:before="120" w:after="120" w:line="360" w:lineRule="auto"/>
              <w:rPr>
                <w:rFonts w:ascii="Arial" w:hAnsi="Arial" w:cs="Arial"/>
                <w:bCs/>
                <w:sz w:val="24"/>
                <w:szCs w:val="24"/>
              </w:rPr>
            </w:pPr>
            <w:proofErr w:type="gramStart"/>
            <w:r w:rsidRPr="00B75F78">
              <w:rPr>
                <w:rFonts w:ascii="Arial" w:hAnsi="Arial" w:cs="Arial"/>
                <w:bCs/>
                <w:sz w:val="24"/>
                <w:szCs w:val="24"/>
              </w:rPr>
              <w:t>w</w:t>
            </w:r>
            <w:proofErr w:type="gramEnd"/>
            <w:r w:rsidRPr="00B75F78">
              <w:rPr>
                <w:rFonts w:ascii="Arial" w:hAnsi="Arial" w:cs="Arial"/>
                <w:bCs/>
                <w:sz w:val="24"/>
                <w:szCs w:val="24"/>
              </w:rPr>
              <w:t xml:space="preserve"> ostatnim etapie Zespół Doradczy dokona wyboru 35 sądów, na podstawie rekomendacji Sądów Apelacyjnych, wyników zewnętrznego audytu oraz opracowanego Modelu Dostępnego Sądu.</w:t>
            </w:r>
          </w:p>
          <w:p w14:paraId="5E9CC286" w14:textId="77777777" w:rsidR="00B75F78" w:rsidRPr="00B75F78" w:rsidRDefault="00B75F78" w:rsidP="00B75F78">
            <w:pPr>
              <w:spacing w:line="360" w:lineRule="auto"/>
              <w:rPr>
                <w:rFonts w:ascii="Arial" w:hAnsi="Arial" w:cs="Arial"/>
                <w:sz w:val="24"/>
                <w:szCs w:val="24"/>
              </w:rPr>
            </w:pPr>
            <w:r w:rsidRPr="00B75F78">
              <w:rPr>
                <w:rFonts w:ascii="Arial" w:hAnsi="Arial" w:cs="Arial"/>
                <w:sz w:val="24"/>
                <w:szCs w:val="24"/>
              </w:rPr>
              <w:t>Na zakończenie etapu doposażenia sądów przeprowadzony zostanie audyt końcowy mający na celu ocenę zwiększenia stopnia dostępności sądu biorącego udział w projekcie dla osób z niepełnosprawnościami.</w:t>
            </w:r>
          </w:p>
          <w:p w14:paraId="3EDF6D77" w14:textId="77777777" w:rsidR="00B75F78" w:rsidRPr="00B75F78" w:rsidRDefault="00B75F78" w:rsidP="00B75F78">
            <w:pPr>
              <w:spacing w:line="360" w:lineRule="auto"/>
              <w:rPr>
                <w:rFonts w:ascii="Arial" w:hAnsi="Arial" w:cs="Arial"/>
                <w:sz w:val="24"/>
                <w:szCs w:val="24"/>
              </w:rPr>
            </w:pPr>
            <w:r w:rsidRPr="00B75F78">
              <w:rPr>
                <w:rFonts w:ascii="Arial" w:hAnsi="Arial" w:cs="Arial"/>
                <w:sz w:val="24"/>
                <w:szCs w:val="24"/>
              </w:rPr>
              <w:t>Audyt końcowy określi w sposób procentowy stopień podniesienia dostępności sądu biorącego udział w projekcie, wykorzystując ustalenia Modelu Dostępnego Sądu i wskazane w nim wagi procentowe poszczególnych elementów wyposażenia i modernizacji architektonicznych.</w:t>
            </w:r>
          </w:p>
          <w:p w14:paraId="1C773F75" w14:textId="77777777" w:rsidR="00B75F78" w:rsidRPr="00B75F78" w:rsidRDefault="00B75F78" w:rsidP="00B75F78">
            <w:pPr>
              <w:spacing w:line="360" w:lineRule="auto"/>
              <w:rPr>
                <w:rFonts w:ascii="Arial" w:hAnsi="Arial" w:cs="Arial"/>
                <w:sz w:val="24"/>
                <w:szCs w:val="24"/>
              </w:rPr>
            </w:pPr>
            <w:r w:rsidRPr="00B75F78">
              <w:rPr>
                <w:rFonts w:ascii="Arial" w:hAnsi="Arial" w:cs="Arial"/>
                <w:sz w:val="24"/>
                <w:szCs w:val="24"/>
              </w:rPr>
              <w:t>Miernikiem świadczącym o wdrożeniu Modelu Dostępnego Sądu w danym sądzie będzie podniesienie stopnia doposażenia sądu biorącego udział w projekcie o 30% w stosunku do stanu, jaki wykazał audyt początkowy. Będzie to również świadczyło o osiągnięciu wskaźnika „Liczba podmiotów, w których wdrożono usprawnienia w zakresie dostępności dla osób z niepełnosprawnościami”.</w:t>
            </w:r>
          </w:p>
          <w:p w14:paraId="25CA1B16" w14:textId="77777777" w:rsidR="00B75F78" w:rsidRPr="00B75F78" w:rsidRDefault="00B75F78" w:rsidP="00B75F78">
            <w:pPr>
              <w:spacing w:line="360" w:lineRule="auto"/>
              <w:rPr>
                <w:rFonts w:ascii="Arial" w:hAnsi="Arial" w:cs="Arial"/>
                <w:bCs/>
                <w:sz w:val="24"/>
                <w:szCs w:val="24"/>
                <w:lang w:val="x-none"/>
              </w:rPr>
            </w:pPr>
            <w:r w:rsidRPr="00B75F78">
              <w:rPr>
                <w:rFonts w:ascii="Arial" w:hAnsi="Arial" w:cs="Arial"/>
                <w:bCs/>
                <w:sz w:val="24"/>
                <w:szCs w:val="24"/>
                <w:lang w:val="x-none"/>
              </w:rPr>
              <w:t xml:space="preserve">Równolegle do prac związanych z doposażeniem sądów prowadzone będą działania związane z </w:t>
            </w:r>
            <w:r w:rsidRPr="00B75F78">
              <w:rPr>
                <w:rFonts w:ascii="Arial" w:hAnsi="Arial" w:cs="Arial"/>
                <w:bCs/>
                <w:sz w:val="24"/>
                <w:szCs w:val="24"/>
              </w:rPr>
              <w:t>wyborem wykonawców szkoleń</w:t>
            </w:r>
            <w:r w:rsidRPr="00B75F78">
              <w:rPr>
                <w:rFonts w:ascii="Arial" w:hAnsi="Arial" w:cs="Arial"/>
                <w:bCs/>
                <w:sz w:val="24"/>
                <w:szCs w:val="24"/>
                <w:lang w:val="x-none"/>
              </w:rPr>
              <w:t xml:space="preserve"> i przeprowadzeniem </w:t>
            </w:r>
            <w:r w:rsidRPr="00B75F78">
              <w:rPr>
                <w:rFonts w:ascii="Arial" w:hAnsi="Arial" w:cs="Arial"/>
                <w:bCs/>
                <w:sz w:val="24"/>
                <w:szCs w:val="24"/>
              </w:rPr>
              <w:t xml:space="preserve">samych </w:t>
            </w:r>
            <w:r w:rsidRPr="00B75F78">
              <w:rPr>
                <w:rFonts w:ascii="Arial" w:hAnsi="Arial" w:cs="Arial"/>
                <w:bCs/>
                <w:sz w:val="24"/>
                <w:szCs w:val="24"/>
                <w:lang w:val="x-none"/>
              </w:rPr>
              <w:t xml:space="preserve">szkoleń. </w:t>
            </w:r>
          </w:p>
          <w:p w14:paraId="557DDB94" w14:textId="77777777" w:rsidR="00B75F78" w:rsidRPr="00B75F78" w:rsidRDefault="00B75F78" w:rsidP="00B75F78">
            <w:pPr>
              <w:spacing w:line="360" w:lineRule="auto"/>
              <w:rPr>
                <w:rFonts w:ascii="Arial" w:hAnsi="Arial" w:cs="Arial"/>
                <w:sz w:val="24"/>
                <w:szCs w:val="24"/>
              </w:rPr>
            </w:pPr>
            <w:r w:rsidRPr="00B75F78">
              <w:rPr>
                <w:rFonts w:ascii="Arial" w:hAnsi="Arial" w:cs="Arial"/>
                <w:bCs/>
                <w:sz w:val="24"/>
                <w:szCs w:val="24"/>
                <w:lang w:val="x-none"/>
              </w:rPr>
              <w:t>W celu prawidłow</w:t>
            </w:r>
            <w:r w:rsidRPr="00B75F78">
              <w:rPr>
                <w:rFonts w:ascii="Arial" w:hAnsi="Arial" w:cs="Arial"/>
                <w:bCs/>
                <w:sz w:val="24"/>
                <w:szCs w:val="24"/>
              </w:rPr>
              <w:t xml:space="preserve">ej koordynacji realizacji projektu jako pierwsza grupa przeszkoleni zostaną </w:t>
            </w:r>
            <w:r w:rsidRPr="00B75F78">
              <w:rPr>
                <w:rFonts w:ascii="Arial" w:hAnsi="Arial" w:cs="Arial"/>
                <w:bCs/>
                <w:sz w:val="24"/>
                <w:szCs w:val="24"/>
                <w:lang w:val="x-none"/>
              </w:rPr>
              <w:t>koordynatorzy dostępności (</w:t>
            </w:r>
            <w:r w:rsidRPr="00B75F78">
              <w:rPr>
                <w:rFonts w:ascii="Arial" w:hAnsi="Arial" w:cs="Arial"/>
                <w:bCs/>
                <w:sz w:val="24"/>
                <w:szCs w:val="24"/>
              </w:rPr>
              <w:t xml:space="preserve">około </w:t>
            </w:r>
            <w:r w:rsidRPr="00B75F78">
              <w:rPr>
                <w:rFonts w:ascii="Arial" w:hAnsi="Arial" w:cs="Arial"/>
                <w:bCs/>
                <w:sz w:val="24"/>
                <w:szCs w:val="24"/>
                <w:lang w:val="x-none"/>
              </w:rPr>
              <w:t xml:space="preserve">300 osób), którzy zgodnie z obowiązującą </w:t>
            </w:r>
            <w:bookmarkStart w:id="10" w:name="_Hlk41390257"/>
            <w:r w:rsidRPr="00B75F78">
              <w:rPr>
                <w:rFonts w:ascii="Arial" w:hAnsi="Arial" w:cs="Arial"/>
                <w:bCs/>
                <w:sz w:val="24"/>
                <w:szCs w:val="24"/>
              </w:rPr>
              <w:t>u</w:t>
            </w:r>
            <w:r w:rsidRPr="00B75F78">
              <w:rPr>
                <w:rFonts w:ascii="Arial" w:hAnsi="Arial" w:cs="Arial"/>
                <w:bCs/>
                <w:sz w:val="24"/>
                <w:szCs w:val="24"/>
                <w:lang w:val="x-none"/>
              </w:rPr>
              <w:t xml:space="preserve">stawą o zapewnianiu dostępności osobom ze szczególnymi potrzebami </w:t>
            </w:r>
            <w:bookmarkEnd w:id="10"/>
            <w:r w:rsidRPr="00B75F78">
              <w:rPr>
                <w:rFonts w:ascii="Arial" w:hAnsi="Arial" w:cs="Arial"/>
                <w:bCs/>
                <w:sz w:val="24"/>
                <w:szCs w:val="24"/>
                <w:lang w:val="x-none"/>
              </w:rPr>
              <w:t>powinni zostać powołani m.in. w sądach do 20 września 2020</w:t>
            </w:r>
            <w:r w:rsidRPr="00B75F78">
              <w:rPr>
                <w:rFonts w:ascii="Arial" w:hAnsi="Arial" w:cs="Arial"/>
                <w:bCs/>
                <w:sz w:val="24"/>
                <w:szCs w:val="24"/>
              </w:rPr>
              <w:t xml:space="preserve"> </w:t>
            </w:r>
            <w:r w:rsidRPr="00B75F78">
              <w:rPr>
                <w:rFonts w:ascii="Arial" w:hAnsi="Arial" w:cs="Arial"/>
                <w:bCs/>
                <w:sz w:val="24"/>
                <w:szCs w:val="24"/>
                <w:lang w:val="x-none"/>
              </w:rPr>
              <w:t xml:space="preserve">r. </w:t>
            </w:r>
          </w:p>
          <w:p w14:paraId="585DACA2" w14:textId="77777777" w:rsidR="00B75F78" w:rsidRPr="00B75F78" w:rsidRDefault="00B75F78" w:rsidP="00B75F78">
            <w:pPr>
              <w:spacing w:before="120" w:after="120" w:line="360" w:lineRule="auto"/>
              <w:rPr>
                <w:rFonts w:ascii="Arial" w:hAnsi="Arial" w:cs="Arial"/>
                <w:bCs/>
                <w:sz w:val="24"/>
                <w:szCs w:val="24"/>
              </w:rPr>
            </w:pPr>
            <w:r w:rsidRPr="00B75F78">
              <w:rPr>
                <w:rFonts w:ascii="Arial" w:hAnsi="Arial" w:cs="Arial"/>
                <w:bCs/>
                <w:sz w:val="24"/>
                <w:szCs w:val="24"/>
              </w:rPr>
              <w:t>Szkolenie koordynatorów dostępności będzie obejmowało w szczególności następujące zagadnienia:</w:t>
            </w:r>
          </w:p>
          <w:p w14:paraId="1CB4A3F6" w14:textId="77777777" w:rsidR="00B75F78" w:rsidRPr="00B75F78" w:rsidRDefault="00B75F78" w:rsidP="00B75F78">
            <w:pPr>
              <w:numPr>
                <w:ilvl w:val="0"/>
                <w:numId w:val="36"/>
              </w:numPr>
              <w:spacing w:before="120" w:after="120" w:line="360" w:lineRule="auto"/>
              <w:rPr>
                <w:rFonts w:ascii="Arial" w:hAnsi="Arial" w:cs="Arial"/>
                <w:bCs/>
                <w:sz w:val="24"/>
                <w:szCs w:val="24"/>
              </w:rPr>
            </w:pPr>
            <w:proofErr w:type="gramStart"/>
            <w:r w:rsidRPr="00B75F78">
              <w:rPr>
                <w:rFonts w:ascii="Arial" w:hAnsi="Arial" w:cs="Arial"/>
                <w:bCs/>
                <w:sz w:val="24"/>
                <w:szCs w:val="24"/>
              </w:rPr>
              <w:t>omówienie</w:t>
            </w:r>
            <w:proofErr w:type="gramEnd"/>
            <w:r w:rsidRPr="00B75F78">
              <w:rPr>
                <w:rFonts w:ascii="Arial" w:hAnsi="Arial" w:cs="Arial"/>
                <w:bCs/>
                <w:sz w:val="24"/>
                <w:szCs w:val="24"/>
              </w:rPr>
              <w:t xml:space="preserve"> obowiązków podmiotu publicznego (sądu) zobowiązanego do stosowania ustawy o zapewnieniu dostępności osobom ze szczególnymi </w:t>
            </w:r>
            <w:r w:rsidRPr="00B75F78">
              <w:rPr>
                <w:rFonts w:ascii="Arial" w:hAnsi="Arial" w:cs="Arial"/>
                <w:bCs/>
                <w:sz w:val="24"/>
                <w:szCs w:val="24"/>
              </w:rPr>
              <w:lastRenderedPageBreak/>
              <w:t>potrzebami oraz zagadnień dostępności architektonicznej, komunikacyjno-informacyjnej i cyfrowej z wykorzystaniem poradnika do ustawy o zapewnieniu dostępności osobom ze szczególnymi potrzebami</w:t>
            </w:r>
          </w:p>
          <w:p w14:paraId="5902D76D" w14:textId="77777777" w:rsidR="00B75F78" w:rsidRPr="00B75F78" w:rsidRDefault="00B75F78" w:rsidP="00B75F78">
            <w:pPr>
              <w:numPr>
                <w:ilvl w:val="0"/>
                <w:numId w:val="36"/>
              </w:numPr>
              <w:spacing w:before="120" w:after="120" w:line="360" w:lineRule="auto"/>
              <w:rPr>
                <w:rFonts w:ascii="Arial" w:hAnsi="Arial" w:cs="Arial"/>
                <w:bCs/>
                <w:sz w:val="24"/>
                <w:szCs w:val="24"/>
              </w:rPr>
            </w:pPr>
            <w:proofErr w:type="gramStart"/>
            <w:r w:rsidRPr="00B75F78">
              <w:rPr>
                <w:rFonts w:ascii="Arial" w:hAnsi="Arial" w:cs="Arial"/>
                <w:bCs/>
                <w:sz w:val="24"/>
                <w:szCs w:val="24"/>
              </w:rPr>
              <w:t>definicje</w:t>
            </w:r>
            <w:proofErr w:type="gramEnd"/>
            <w:r w:rsidRPr="00B75F78">
              <w:rPr>
                <w:rFonts w:ascii="Arial" w:hAnsi="Arial" w:cs="Arial"/>
                <w:bCs/>
                <w:sz w:val="24"/>
                <w:szCs w:val="24"/>
              </w:rPr>
              <w:t xml:space="preserve"> użyte w ustawie, </w:t>
            </w:r>
          </w:p>
          <w:p w14:paraId="5D0F603D" w14:textId="77777777" w:rsidR="00B75F78" w:rsidRPr="00B75F78" w:rsidRDefault="00B75F78" w:rsidP="00B75F78">
            <w:pPr>
              <w:numPr>
                <w:ilvl w:val="0"/>
                <w:numId w:val="36"/>
              </w:numPr>
              <w:spacing w:before="120" w:after="120" w:line="360" w:lineRule="auto"/>
              <w:rPr>
                <w:rFonts w:ascii="Arial" w:hAnsi="Arial" w:cs="Arial"/>
                <w:sz w:val="24"/>
                <w:szCs w:val="24"/>
              </w:rPr>
            </w:pPr>
            <w:proofErr w:type="gramStart"/>
            <w:r w:rsidRPr="00B75F78">
              <w:rPr>
                <w:rFonts w:ascii="Arial" w:hAnsi="Arial" w:cs="Arial"/>
                <w:sz w:val="24"/>
                <w:szCs w:val="24"/>
              </w:rPr>
              <w:t>omówienie</w:t>
            </w:r>
            <w:proofErr w:type="gramEnd"/>
            <w:r w:rsidRPr="00B75F78">
              <w:rPr>
                <w:rFonts w:ascii="Arial" w:hAnsi="Arial" w:cs="Arial"/>
                <w:sz w:val="24"/>
                <w:szCs w:val="24"/>
              </w:rPr>
              <w:t xml:space="preserve"> funkcji i obowiązków koordynatora do spraw dostępności funkcjonującego przy danym sądzie wynikających z art. 14 ustawy o zapewnianiu dostępności osobom ze szczególnymi potrzebami, w tym m.in. poprzez, wsparcie osób ze szczególnymi potrzebami w dostępie do usług świadczonych przez podmiot (Sąd), przygotowanie i koordynację wdrożenia planu działania na rzecz poprawy zapewniania dostępności osobom ze szczególnymi potrzebami przez podmiot (Sąd), oraz monitorowanie działalności podmiotu (Sądu) w zakresie zapewniania dostępności osobom ze szczególnymi potrzebami.</w:t>
            </w:r>
          </w:p>
          <w:p w14:paraId="31EBF6BA" w14:textId="77777777" w:rsidR="00B75F78" w:rsidRPr="00B75F78" w:rsidRDefault="00B75F78" w:rsidP="00B75F78">
            <w:pPr>
              <w:numPr>
                <w:ilvl w:val="0"/>
                <w:numId w:val="36"/>
              </w:numPr>
              <w:spacing w:before="120" w:after="120" w:line="360" w:lineRule="auto"/>
              <w:rPr>
                <w:rFonts w:ascii="Arial" w:hAnsi="Arial" w:cs="Arial"/>
                <w:sz w:val="24"/>
                <w:szCs w:val="24"/>
              </w:rPr>
            </w:pPr>
            <w:proofErr w:type="gramStart"/>
            <w:r w:rsidRPr="00B75F78">
              <w:rPr>
                <w:rFonts w:ascii="Arial" w:hAnsi="Arial" w:cs="Arial"/>
                <w:sz w:val="24"/>
                <w:szCs w:val="24"/>
              </w:rPr>
              <w:t>przykłady</w:t>
            </w:r>
            <w:proofErr w:type="gramEnd"/>
            <w:r w:rsidRPr="00B75F78">
              <w:rPr>
                <w:rFonts w:ascii="Arial" w:hAnsi="Arial" w:cs="Arial"/>
                <w:sz w:val="24"/>
                <w:szCs w:val="24"/>
              </w:rPr>
              <w:t xml:space="preserve"> dobrych rozwiązań i praktyk zapewniających dostępność,</w:t>
            </w:r>
          </w:p>
          <w:p w14:paraId="44650CFF" w14:textId="77777777" w:rsidR="00B75F78" w:rsidRPr="00B75F78" w:rsidRDefault="00B75F78" w:rsidP="00B75F78">
            <w:pPr>
              <w:numPr>
                <w:ilvl w:val="0"/>
                <w:numId w:val="36"/>
              </w:numPr>
              <w:spacing w:before="120" w:after="120" w:line="360" w:lineRule="auto"/>
              <w:rPr>
                <w:rFonts w:ascii="Arial" w:hAnsi="Arial" w:cs="Arial"/>
                <w:sz w:val="24"/>
                <w:szCs w:val="24"/>
              </w:rPr>
            </w:pPr>
            <w:proofErr w:type="gramStart"/>
            <w:r w:rsidRPr="00B75F78">
              <w:rPr>
                <w:rFonts w:ascii="Arial" w:hAnsi="Arial" w:cs="Arial"/>
                <w:sz w:val="24"/>
                <w:szCs w:val="24"/>
              </w:rPr>
              <w:t>omówienie</w:t>
            </w:r>
            <w:proofErr w:type="gramEnd"/>
            <w:r w:rsidRPr="00B75F78">
              <w:rPr>
                <w:rFonts w:ascii="Arial" w:hAnsi="Arial" w:cs="Arial"/>
                <w:sz w:val="24"/>
                <w:szCs w:val="24"/>
              </w:rPr>
              <w:t xml:space="preserve"> dostępnych materiałów opracowanych przez inne podmioty w zakresie pracy i zadań koordynatora dostępności,</w:t>
            </w:r>
          </w:p>
          <w:p w14:paraId="73B05ACA" w14:textId="77777777" w:rsidR="00B75F78" w:rsidRPr="00B75F78" w:rsidRDefault="00B75F78" w:rsidP="00B75F78">
            <w:pPr>
              <w:numPr>
                <w:ilvl w:val="0"/>
                <w:numId w:val="36"/>
              </w:numPr>
              <w:spacing w:before="120" w:after="120" w:line="360" w:lineRule="auto"/>
              <w:rPr>
                <w:rFonts w:ascii="Arial" w:hAnsi="Arial" w:cs="Arial"/>
                <w:sz w:val="24"/>
                <w:szCs w:val="24"/>
              </w:rPr>
            </w:pPr>
            <w:r w:rsidRPr="00B75F78">
              <w:rPr>
                <w:rFonts w:ascii="Arial" w:hAnsi="Arial" w:cs="Arial"/>
                <w:sz w:val="24"/>
                <w:szCs w:val="24"/>
              </w:rPr>
              <w:t xml:space="preserve">omówienie Modelu Dostępnego Sądu, przekazanie pakietu informacji na temat zasad i sposobu tworzenia planów działania na rzecz poprawy dostępności w budynku </w:t>
            </w:r>
            <w:proofErr w:type="gramStart"/>
            <w:r w:rsidRPr="00B75F78">
              <w:rPr>
                <w:rFonts w:ascii="Arial" w:hAnsi="Arial" w:cs="Arial"/>
                <w:sz w:val="24"/>
                <w:szCs w:val="24"/>
              </w:rPr>
              <w:t>sądu  (czym</w:t>
            </w:r>
            <w:proofErr w:type="gramEnd"/>
            <w:r w:rsidRPr="00B75F78">
              <w:rPr>
                <w:rFonts w:ascii="Arial" w:hAnsi="Arial" w:cs="Arial"/>
                <w:sz w:val="24"/>
                <w:szCs w:val="24"/>
              </w:rPr>
              <w:t xml:space="preserve"> jest plan działania, jak się go tworzy, do czego służy) .</w:t>
            </w:r>
          </w:p>
          <w:p w14:paraId="4F97F483" w14:textId="77777777" w:rsidR="00B75F78" w:rsidRPr="00B75F78" w:rsidRDefault="00B75F78" w:rsidP="00B75F78">
            <w:pPr>
              <w:spacing w:before="120" w:after="120" w:line="360" w:lineRule="auto"/>
              <w:rPr>
                <w:rFonts w:ascii="Arial" w:hAnsi="Arial" w:cs="Arial"/>
                <w:color w:val="000000"/>
                <w:sz w:val="24"/>
                <w:szCs w:val="24"/>
              </w:rPr>
            </w:pPr>
            <w:r w:rsidRPr="00B75F78">
              <w:rPr>
                <w:rFonts w:ascii="Arial" w:hAnsi="Arial" w:cs="Arial"/>
                <w:bCs/>
                <w:sz w:val="24"/>
                <w:szCs w:val="24"/>
              </w:rPr>
              <w:t xml:space="preserve">Na kolejnym etapie przeszkolonych zostanie około 3.200 </w:t>
            </w:r>
            <w:proofErr w:type="gramStart"/>
            <w:r w:rsidRPr="00B75F78">
              <w:rPr>
                <w:rFonts w:ascii="Arial" w:hAnsi="Arial" w:cs="Arial"/>
                <w:bCs/>
                <w:sz w:val="24"/>
                <w:szCs w:val="24"/>
              </w:rPr>
              <w:t>pracowników</w:t>
            </w:r>
            <w:proofErr w:type="gramEnd"/>
            <w:r w:rsidRPr="00B75F78">
              <w:rPr>
                <w:rFonts w:ascii="Arial" w:hAnsi="Arial" w:cs="Arial"/>
                <w:bCs/>
                <w:sz w:val="24"/>
                <w:szCs w:val="24"/>
              </w:rPr>
              <w:t xml:space="preserve"> sądów, w tym </w:t>
            </w:r>
            <w:r w:rsidRPr="00B75F78">
              <w:rPr>
                <w:rFonts w:ascii="Arial" w:hAnsi="Arial" w:cs="Arial"/>
                <w:color w:val="000000"/>
                <w:sz w:val="24"/>
                <w:szCs w:val="24"/>
              </w:rPr>
              <w:t xml:space="preserve">Prezesów/Zastępców Prezesów sądów, orzeczników (Sędziów, Referendarzy sądowych, Asesorów, Asystentów sędziego), pracowników administracyjnych, wybranych pracowników pełniących funkcję osoby wspierającej osoby z niepełnosprawnością, oraz około 100 przedstawicieli zawodów prawniczych (Dziekanów oraz kierowników szkoleń w Izbach i Radach), odpowiedzialnych za treści programowe szkoleń w ramach swoich samorządów. </w:t>
            </w:r>
          </w:p>
          <w:p w14:paraId="138C2C9F" w14:textId="77777777" w:rsidR="00B75F78" w:rsidRPr="00B75F78" w:rsidRDefault="00B75F78" w:rsidP="00B75F78">
            <w:pPr>
              <w:widowControl w:val="0"/>
              <w:autoSpaceDE w:val="0"/>
              <w:autoSpaceDN w:val="0"/>
              <w:adjustRightInd w:val="0"/>
              <w:spacing w:line="360" w:lineRule="auto"/>
              <w:rPr>
                <w:rFonts w:ascii="Arial" w:hAnsi="Arial" w:cs="Arial"/>
                <w:bCs/>
                <w:sz w:val="24"/>
                <w:szCs w:val="24"/>
              </w:rPr>
            </w:pPr>
            <w:r w:rsidRPr="00B75F78">
              <w:rPr>
                <w:rFonts w:ascii="Arial" w:hAnsi="Arial" w:cs="Arial"/>
                <w:bCs/>
                <w:sz w:val="24"/>
                <w:szCs w:val="24"/>
              </w:rPr>
              <w:t>Zorganizowane zostaną min. 2 - dniowe (16-godzin) szkolenia w formie warsztatowej (również uczenie przez doświadczenie) w następujących grupach (średnio 25 osób w grupie):</w:t>
            </w:r>
          </w:p>
          <w:p w14:paraId="039879E0" w14:textId="77777777" w:rsidR="00B75F78" w:rsidRPr="00B75F78" w:rsidRDefault="00B75F78" w:rsidP="00B75F78">
            <w:pPr>
              <w:widowControl w:val="0"/>
              <w:autoSpaceDE w:val="0"/>
              <w:autoSpaceDN w:val="0"/>
              <w:adjustRightInd w:val="0"/>
              <w:spacing w:line="360" w:lineRule="auto"/>
              <w:rPr>
                <w:rFonts w:ascii="Arial" w:hAnsi="Arial" w:cs="Arial"/>
                <w:sz w:val="24"/>
                <w:szCs w:val="24"/>
              </w:rPr>
            </w:pPr>
            <w:r w:rsidRPr="00B75F78">
              <w:rPr>
                <w:rFonts w:ascii="Arial" w:hAnsi="Arial" w:cs="Arial"/>
                <w:sz w:val="24"/>
                <w:szCs w:val="24"/>
              </w:rPr>
              <w:t>- Prezesi/Zastępcy Prezesów Sądów,</w:t>
            </w:r>
          </w:p>
          <w:p w14:paraId="0B883D00" w14:textId="77777777" w:rsidR="00B75F78" w:rsidRPr="00B75F78" w:rsidRDefault="00B75F78" w:rsidP="00B75F78">
            <w:pPr>
              <w:widowControl w:val="0"/>
              <w:autoSpaceDE w:val="0"/>
              <w:autoSpaceDN w:val="0"/>
              <w:adjustRightInd w:val="0"/>
              <w:spacing w:line="360" w:lineRule="auto"/>
              <w:rPr>
                <w:rFonts w:ascii="Arial" w:hAnsi="Arial" w:cs="Arial"/>
                <w:sz w:val="24"/>
                <w:szCs w:val="24"/>
              </w:rPr>
            </w:pPr>
            <w:r w:rsidRPr="00B75F78">
              <w:rPr>
                <w:rFonts w:ascii="Arial" w:hAnsi="Arial" w:cs="Arial"/>
                <w:sz w:val="24"/>
                <w:szCs w:val="24"/>
              </w:rPr>
              <w:lastRenderedPageBreak/>
              <w:t xml:space="preserve">- Orzecznicy: Sędziowie, Referendarzy sądowi, </w:t>
            </w:r>
            <w:proofErr w:type="gramStart"/>
            <w:r w:rsidRPr="00B75F78">
              <w:rPr>
                <w:rFonts w:ascii="Arial" w:hAnsi="Arial" w:cs="Arial"/>
                <w:sz w:val="24"/>
                <w:szCs w:val="24"/>
              </w:rPr>
              <w:t>Asesorzy</w:t>
            </w:r>
            <w:proofErr w:type="gramEnd"/>
            <w:r w:rsidRPr="00B75F78">
              <w:rPr>
                <w:rFonts w:ascii="Arial" w:hAnsi="Arial" w:cs="Arial"/>
                <w:sz w:val="24"/>
                <w:szCs w:val="24"/>
              </w:rPr>
              <w:t xml:space="preserve"> oraz Asystenci sędziego,</w:t>
            </w:r>
          </w:p>
          <w:p w14:paraId="0498EC70" w14:textId="77777777" w:rsidR="00B75F78" w:rsidRPr="00B75F78" w:rsidRDefault="00B75F78" w:rsidP="00B75F78">
            <w:pPr>
              <w:widowControl w:val="0"/>
              <w:autoSpaceDE w:val="0"/>
              <w:autoSpaceDN w:val="0"/>
              <w:adjustRightInd w:val="0"/>
              <w:spacing w:line="360" w:lineRule="auto"/>
              <w:rPr>
                <w:rFonts w:ascii="Arial" w:hAnsi="Arial" w:cs="Arial"/>
                <w:sz w:val="24"/>
                <w:szCs w:val="24"/>
              </w:rPr>
            </w:pPr>
            <w:r w:rsidRPr="00B75F78">
              <w:rPr>
                <w:rFonts w:ascii="Arial" w:hAnsi="Arial" w:cs="Arial"/>
                <w:sz w:val="24"/>
                <w:szCs w:val="24"/>
              </w:rPr>
              <w:t>- Pracownicy administracyjni sądów,</w:t>
            </w:r>
          </w:p>
          <w:p w14:paraId="79B34A71" w14:textId="77777777" w:rsidR="00B75F78" w:rsidRPr="00B75F78" w:rsidRDefault="00B75F78" w:rsidP="00B75F78">
            <w:pPr>
              <w:widowControl w:val="0"/>
              <w:autoSpaceDE w:val="0"/>
              <w:autoSpaceDN w:val="0"/>
              <w:adjustRightInd w:val="0"/>
              <w:spacing w:line="360" w:lineRule="auto"/>
              <w:rPr>
                <w:rFonts w:ascii="Arial" w:hAnsi="Arial" w:cs="Arial"/>
                <w:sz w:val="24"/>
                <w:szCs w:val="24"/>
              </w:rPr>
            </w:pPr>
            <w:r w:rsidRPr="00B75F78">
              <w:rPr>
                <w:rFonts w:ascii="Arial" w:hAnsi="Arial" w:cs="Arial"/>
                <w:sz w:val="24"/>
                <w:szCs w:val="24"/>
              </w:rPr>
              <w:t>- Przedstawiciele zawodów prawniczych, kierownicy szkoleń w Izbach i Radach,</w:t>
            </w:r>
          </w:p>
          <w:p w14:paraId="6E3BD55F" w14:textId="77777777" w:rsidR="00B75F78" w:rsidRPr="00B75F78" w:rsidRDefault="00B75F78" w:rsidP="00B75F78">
            <w:pPr>
              <w:widowControl w:val="0"/>
              <w:autoSpaceDE w:val="0"/>
              <w:autoSpaceDN w:val="0"/>
              <w:adjustRightInd w:val="0"/>
              <w:spacing w:line="360" w:lineRule="auto"/>
              <w:rPr>
                <w:rFonts w:ascii="Arial" w:hAnsi="Arial" w:cs="Arial"/>
                <w:sz w:val="24"/>
                <w:szCs w:val="24"/>
              </w:rPr>
            </w:pPr>
            <w:r w:rsidRPr="00B75F78">
              <w:rPr>
                <w:rFonts w:ascii="Arial" w:hAnsi="Arial" w:cs="Arial"/>
                <w:sz w:val="24"/>
                <w:szCs w:val="24"/>
              </w:rPr>
              <w:t>- Pracownicy sądów, wspierający osoby z niepełnosprawnością.</w:t>
            </w:r>
          </w:p>
          <w:p w14:paraId="08759553" w14:textId="77777777" w:rsidR="00B75F78" w:rsidRPr="00B75F78" w:rsidRDefault="00B75F78" w:rsidP="00B75F78">
            <w:pPr>
              <w:spacing w:before="120" w:after="120" w:line="360" w:lineRule="auto"/>
              <w:rPr>
                <w:rFonts w:ascii="Arial" w:hAnsi="Arial" w:cs="Arial"/>
                <w:bCs/>
                <w:sz w:val="24"/>
                <w:szCs w:val="24"/>
              </w:rPr>
            </w:pPr>
            <w:r w:rsidRPr="00B75F78">
              <w:rPr>
                <w:rFonts w:ascii="Arial" w:hAnsi="Arial" w:cs="Arial"/>
                <w:bCs/>
                <w:sz w:val="24"/>
                <w:szCs w:val="24"/>
              </w:rPr>
              <w:t xml:space="preserve">Każde ze szkoleń będzie prowadzić 2 trenerów, celem zwiększenia efektywności szkoleń. Jednym z trenerów, w </w:t>
            </w:r>
            <w:proofErr w:type="gramStart"/>
            <w:r w:rsidRPr="00B75F78">
              <w:rPr>
                <w:rFonts w:ascii="Arial" w:hAnsi="Arial" w:cs="Arial"/>
                <w:bCs/>
                <w:sz w:val="24"/>
                <w:szCs w:val="24"/>
              </w:rPr>
              <w:t>miarę  możliwości</w:t>
            </w:r>
            <w:proofErr w:type="gramEnd"/>
            <w:r w:rsidRPr="00B75F78">
              <w:rPr>
                <w:rFonts w:ascii="Arial" w:hAnsi="Arial" w:cs="Arial"/>
                <w:bCs/>
                <w:sz w:val="24"/>
                <w:szCs w:val="24"/>
              </w:rPr>
              <w:t>, będzie osoba z niepełnosprawnością posiadająca odpowiednie kwalifikacje i doświadczenie.</w:t>
            </w:r>
          </w:p>
          <w:p w14:paraId="21EE55B7" w14:textId="77777777" w:rsidR="00B75F78" w:rsidRPr="00B75F78" w:rsidRDefault="00B75F78" w:rsidP="00B75F78">
            <w:pPr>
              <w:spacing w:before="120" w:after="120" w:line="360" w:lineRule="auto"/>
              <w:rPr>
                <w:rFonts w:ascii="Arial" w:hAnsi="Arial" w:cs="Arial"/>
                <w:bCs/>
                <w:sz w:val="24"/>
                <w:szCs w:val="24"/>
              </w:rPr>
            </w:pPr>
            <w:r w:rsidRPr="00B75F78">
              <w:rPr>
                <w:rFonts w:ascii="Arial" w:hAnsi="Arial" w:cs="Arial"/>
                <w:bCs/>
                <w:sz w:val="24"/>
                <w:szCs w:val="24"/>
              </w:rPr>
              <w:t>Uczestnikom zostaną zapewnione materiały szkoleniowe.</w:t>
            </w:r>
          </w:p>
          <w:p w14:paraId="4F5B08AC" w14:textId="77777777" w:rsidR="00B75F78" w:rsidRPr="00B75F78" w:rsidRDefault="00B75F78" w:rsidP="00B75F78">
            <w:pPr>
              <w:spacing w:before="120" w:after="120" w:line="360" w:lineRule="auto"/>
              <w:rPr>
                <w:rFonts w:ascii="Arial" w:hAnsi="Arial" w:cs="Arial"/>
                <w:color w:val="000000"/>
                <w:sz w:val="24"/>
                <w:szCs w:val="24"/>
              </w:rPr>
            </w:pPr>
            <w:r w:rsidRPr="00B75F78">
              <w:rPr>
                <w:rFonts w:ascii="Arial" w:hAnsi="Arial" w:cs="Arial"/>
                <w:color w:val="000000"/>
                <w:sz w:val="24"/>
                <w:szCs w:val="24"/>
              </w:rPr>
              <w:t xml:space="preserve">Dla każdej grupy docelowej zostaną stworzone przez Zespół Doradczy odrębne ramy programowe uwzględniające odrębną specyfikę pracy i role w strukturach wymiaru sprawiedliwości. Treści programowe szkoleń dla Prezesów i Dyrektorów sądów będą uwzględniać ich funkcje zarządcze i organizacyjne. Zakres szkoleń dla kadry orzeczniczej będzie obejmował m.in. zagadnienia związane z sytuacjami mogącymi wydarzyć się na sali rozpraw oraz aspekty merytoryczne i proceduralne. W bloku szkoleń dla pracowników administracyjnych istotne będą zagadnienia bezpośrednich relacji z osobami z niepełnosprawnościami. </w:t>
            </w:r>
          </w:p>
          <w:p w14:paraId="72689B5A"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Program szkolenia będzie składał się z dwóch modułów, co umożliwi przekazanie niezbędnej wiedzy z obszaru dostępności, a także pozwoli</w:t>
            </w:r>
            <w:r w:rsidRPr="00B75F78">
              <w:rPr>
                <w:rFonts w:ascii="Arial" w:hAnsi="Arial" w:cs="Arial"/>
                <w:sz w:val="24"/>
                <w:szCs w:val="24"/>
                <w:lang w:val="x-none"/>
              </w:rPr>
              <w:t xml:space="preserve"> </w:t>
            </w:r>
            <w:r w:rsidRPr="00B75F78">
              <w:rPr>
                <w:rFonts w:ascii="Arial" w:hAnsi="Arial" w:cs="Arial"/>
                <w:sz w:val="24"/>
                <w:szCs w:val="24"/>
              </w:rPr>
              <w:t>na dostosowanie szkolenia do potrzeb oraz zadań danej grupy docelowej. W części ogólnej (moduł ogólny) szkolenie dostarczy uczestnikom podstawowej wiedzy z zakresu zadań podmiotu (Sądu) w różnych obszarach dostępności oraz nawiązywania kontaktu i efektywnej komunikacji z Klientem z niepełnosprawnością. Część specjalistyczna (moduł specjalistyczny) szkolenia będzie uwzględniała zadania uczestników wynikające z profilu zawodowego grupy docelowej. Umożliwi to przeprowadzenie szkolenia ukierunkowanego na potrzeby i specyfikę pracy uczestników, w celu likwidacji barier w kontaktach z Klientem na różnych poziomach komunikacji (inaczej wygląda kontakt interesanta z Prezesem Sądu/Przewodniczącym Wydziału; inaczej z organem prowadzącym postępowanie, a inaczej z pracownikiem administracyjnym czy też sekretarzem sądowym).</w:t>
            </w:r>
          </w:p>
          <w:p w14:paraId="321CC8FA"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 xml:space="preserve">Przed przystąpieniem do szkolenia wszyscy uczestnicy wypełnią </w:t>
            </w:r>
            <w:proofErr w:type="spellStart"/>
            <w:r w:rsidRPr="00B75F78">
              <w:rPr>
                <w:rFonts w:ascii="Arial" w:hAnsi="Arial" w:cs="Arial"/>
                <w:sz w:val="24"/>
                <w:szCs w:val="24"/>
              </w:rPr>
              <w:t>pre</w:t>
            </w:r>
            <w:proofErr w:type="spellEnd"/>
            <w:r w:rsidRPr="00B75F78">
              <w:rPr>
                <w:rFonts w:ascii="Arial" w:hAnsi="Arial" w:cs="Arial"/>
                <w:sz w:val="24"/>
                <w:szCs w:val="24"/>
              </w:rPr>
              <w:t xml:space="preserve">-test, </w:t>
            </w:r>
            <w:r w:rsidRPr="00B75F78">
              <w:rPr>
                <w:rFonts w:ascii="Arial" w:hAnsi="Arial" w:cs="Arial"/>
                <w:sz w:val="24"/>
                <w:szCs w:val="24"/>
              </w:rPr>
              <w:lastRenderedPageBreak/>
              <w:t>weryfikujący ich stan wiedzy z zakresu zagadnień dotyczących dostępności, zaś po zakończeniu szkolenia uczestnicy wypełnią post-test, który oceni stan wiedzy uczestników po szkoleniu i będzie stanowił obiektywną weryfikację skuteczności przeprowadzonego szkolenia oraz faktycznego pogłębienia wiedzy uczestników z omawianego zakresu.</w:t>
            </w:r>
          </w:p>
          <w:p w14:paraId="1556ED46"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Przeprowadzane testy będą korespondowały z modułami szkolenia, a więc będą uwzględniały potrzeby szkoleniowe i specyfikę zawodową danej grupy docelowej.</w:t>
            </w:r>
          </w:p>
          <w:p w14:paraId="42D950B9"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 xml:space="preserve"> Program, w zależności od grupy docelowej, powinien zawierać takie zagadnienia jak np.:</w:t>
            </w:r>
          </w:p>
          <w:p w14:paraId="25FAAF30"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proofErr w:type="gramStart"/>
            <w:r w:rsidRPr="00B75F78">
              <w:rPr>
                <w:rFonts w:ascii="Arial" w:hAnsi="Arial" w:cs="Arial"/>
                <w:sz w:val="24"/>
                <w:szCs w:val="24"/>
              </w:rPr>
              <w:t>** Kim</w:t>
            </w:r>
            <w:proofErr w:type="gramEnd"/>
            <w:r w:rsidRPr="00B75F78">
              <w:rPr>
                <w:rFonts w:ascii="Arial" w:hAnsi="Arial" w:cs="Arial"/>
                <w:sz w:val="24"/>
                <w:szCs w:val="24"/>
              </w:rPr>
              <w:t xml:space="preserve"> jest osoba z niepełnosprawnością w oparciu o obowiązujący stan prawny.</w:t>
            </w:r>
          </w:p>
          <w:p w14:paraId="1D1F8015"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p>
          <w:p w14:paraId="5C816F95"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r w:rsidRPr="00B75F78">
              <w:rPr>
                <w:rFonts w:ascii="Arial" w:hAnsi="Arial" w:cs="Arial"/>
                <w:sz w:val="24"/>
                <w:szCs w:val="24"/>
              </w:rPr>
              <w:t>** Rodzaje niepełnosprawności</w:t>
            </w:r>
          </w:p>
          <w:p w14:paraId="6CA28BAE"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p>
          <w:p w14:paraId="32D58946"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r w:rsidRPr="00B75F78">
              <w:rPr>
                <w:rFonts w:ascii="Arial" w:hAnsi="Arial" w:cs="Arial"/>
                <w:sz w:val="24"/>
                <w:szCs w:val="24"/>
              </w:rPr>
              <w:t xml:space="preserve">**Funkcjonalne następstwa a zapewnienie bezstronności i prawa przedstawienia swojego stanowiska </w:t>
            </w:r>
          </w:p>
          <w:p w14:paraId="45000E08"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p>
          <w:p w14:paraId="2E272D50"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r w:rsidRPr="00B75F78">
              <w:rPr>
                <w:rFonts w:ascii="Arial" w:hAnsi="Arial" w:cs="Arial"/>
                <w:sz w:val="24"/>
                <w:szCs w:val="24"/>
              </w:rPr>
              <w:t>** Aspekty zarządcze i organizacyjne</w:t>
            </w:r>
          </w:p>
          <w:p w14:paraId="300218D3"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p>
          <w:p w14:paraId="5B7F2A6C"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r w:rsidRPr="00B75F78">
              <w:rPr>
                <w:rFonts w:ascii="Arial" w:hAnsi="Arial" w:cs="Arial"/>
                <w:sz w:val="24"/>
                <w:szCs w:val="24"/>
              </w:rPr>
              <w:t xml:space="preserve">** Potrzeby osób z niepełnosprawnością, wynikające z naruszonej sprawności fizycznej, psychicznej i intelektualnej lub w zakresie zmysłów </w:t>
            </w:r>
          </w:p>
          <w:p w14:paraId="388B4DEC"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p>
          <w:p w14:paraId="533924A9"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r w:rsidRPr="00B75F78">
              <w:rPr>
                <w:rFonts w:ascii="Arial" w:hAnsi="Arial" w:cs="Arial"/>
                <w:sz w:val="24"/>
                <w:szCs w:val="24"/>
              </w:rPr>
              <w:t>** Bariery utrudniające osobom z niepełnosprawnościami do skutecznego dostępu do wymiaru sprawiedliwości</w:t>
            </w:r>
          </w:p>
          <w:p w14:paraId="52403DA3"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p>
          <w:p w14:paraId="058972AE"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r w:rsidRPr="00B75F78">
              <w:rPr>
                <w:rFonts w:ascii="Arial" w:hAnsi="Arial" w:cs="Arial"/>
                <w:sz w:val="24"/>
                <w:szCs w:val="24"/>
              </w:rPr>
              <w:t>** Poszerzenie wiedzy o trudnościach, jakich mogą doświadczać osoby z różnymi rodzajami niepełnosprawności - symulacje, ćwiczenia, podczas których uczestnicy będą poznawać odbieranie rzeczywistości z perspektywy osoby z niepełnosprawnością wzrokową i słuchu</w:t>
            </w:r>
          </w:p>
          <w:p w14:paraId="0501363C"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p>
          <w:p w14:paraId="1A8A580B"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r w:rsidRPr="00B75F78">
              <w:rPr>
                <w:rFonts w:ascii="Arial" w:hAnsi="Arial" w:cs="Arial"/>
                <w:sz w:val="24"/>
                <w:szCs w:val="24"/>
              </w:rPr>
              <w:t xml:space="preserve">**Niwelowanie własnych błędnych stereotypów/stygmatów postrzegania tej grupy osób przez pracowników wymiaru sprawiedliwości </w:t>
            </w:r>
          </w:p>
          <w:p w14:paraId="486052F8"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r w:rsidRPr="00B75F78">
              <w:rPr>
                <w:rFonts w:ascii="Arial" w:hAnsi="Arial" w:cs="Arial"/>
                <w:sz w:val="24"/>
                <w:szCs w:val="24"/>
              </w:rPr>
              <w:t xml:space="preserve"> </w:t>
            </w:r>
          </w:p>
          <w:p w14:paraId="325BDE0B"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r w:rsidRPr="00B75F78">
              <w:rPr>
                <w:rFonts w:ascii="Arial" w:hAnsi="Arial" w:cs="Arial"/>
                <w:sz w:val="24"/>
                <w:szCs w:val="24"/>
              </w:rPr>
              <w:lastRenderedPageBreak/>
              <w:t>**Dyskryminujące praktyki dotyczące funkcjonowania wymiaru sprawiedliwości</w:t>
            </w:r>
          </w:p>
          <w:p w14:paraId="09621FB2"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p>
          <w:p w14:paraId="14669F06"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r w:rsidRPr="00B75F78">
              <w:rPr>
                <w:rFonts w:ascii="Arial" w:hAnsi="Arial" w:cs="Arial"/>
                <w:sz w:val="24"/>
                <w:szCs w:val="24"/>
              </w:rPr>
              <w:t xml:space="preserve">** Oczekiwania klienta z niepełnosprawnością </w:t>
            </w:r>
          </w:p>
          <w:p w14:paraId="3FEF54DD"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p>
          <w:p w14:paraId="5B977827"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r w:rsidRPr="00B75F78">
              <w:rPr>
                <w:rFonts w:ascii="Arial" w:hAnsi="Arial" w:cs="Arial"/>
                <w:sz w:val="24"/>
                <w:szCs w:val="24"/>
              </w:rPr>
              <w:t xml:space="preserve">** Prawidłowe wchodzenie w relacje z tą grupą klientów, </w:t>
            </w:r>
            <w:proofErr w:type="gramStart"/>
            <w:r w:rsidRPr="00B75F78">
              <w:rPr>
                <w:rFonts w:ascii="Arial" w:hAnsi="Arial" w:cs="Arial"/>
                <w:sz w:val="24"/>
                <w:szCs w:val="24"/>
              </w:rPr>
              <w:t>nie generujące</w:t>
            </w:r>
            <w:proofErr w:type="gramEnd"/>
            <w:r w:rsidRPr="00B75F78">
              <w:rPr>
                <w:rFonts w:ascii="Arial" w:hAnsi="Arial" w:cs="Arial"/>
                <w:sz w:val="24"/>
                <w:szCs w:val="24"/>
              </w:rPr>
              <w:t xml:space="preserve"> niepotrzebnych nieporozumień w toku postępowania </w:t>
            </w:r>
          </w:p>
          <w:p w14:paraId="5CE95026"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p>
          <w:p w14:paraId="7DB4B5CA"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r w:rsidRPr="00B75F78">
              <w:rPr>
                <w:rFonts w:ascii="Arial" w:hAnsi="Arial" w:cs="Arial"/>
                <w:sz w:val="24"/>
                <w:szCs w:val="24"/>
              </w:rPr>
              <w:t>** Savoir - vivre wobec osób z niepełnosprawnością</w:t>
            </w:r>
          </w:p>
          <w:p w14:paraId="18AF0D7B"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p>
          <w:p w14:paraId="0EA4EE58" w14:textId="77777777" w:rsidR="00B75F78" w:rsidRPr="00B75F78" w:rsidRDefault="00B75F78" w:rsidP="00B75F78">
            <w:pPr>
              <w:widowControl w:val="0"/>
              <w:autoSpaceDE w:val="0"/>
              <w:autoSpaceDN w:val="0"/>
              <w:adjustRightInd w:val="0"/>
              <w:spacing w:after="0" w:line="360" w:lineRule="auto"/>
              <w:rPr>
                <w:rFonts w:ascii="Arial" w:hAnsi="Arial" w:cs="Arial"/>
                <w:sz w:val="24"/>
                <w:szCs w:val="24"/>
              </w:rPr>
            </w:pPr>
            <w:r w:rsidRPr="00B75F78">
              <w:rPr>
                <w:rFonts w:ascii="Arial" w:hAnsi="Arial" w:cs="Arial"/>
                <w:sz w:val="24"/>
                <w:szCs w:val="24"/>
              </w:rPr>
              <w:t xml:space="preserve">** Jak prawidłowo komunikować się z osobą z niepełnosprawnością wzrokową, słuchową i ruchową. </w:t>
            </w:r>
          </w:p>
          <w:p w14:paraId="68586475" w14:textId="77777777" w:rsidR="00B75F78" w:rsidRPr="00B75F78" w:rsidRDefault="00B75F78" w:rsidP="00B75F78">
            <w:pPr>
              <w:spacing w:before="120" w:after="120" w:line="360" w:lineRule="auto"/>
              <w:rPr>
                <w:rFonts w:ascii="Arial" w:hAnsi="Arial" w:cs="Arial"/>
                <w:bCs/>
                <w:sz w:val="24"/>
                <w:szCs w:val="24"/>
              </w:rPr>
            </w:pPr>
            <w:r w:rsidRPr="00B75F78">
              <w:rPr>
                <w:rFonts w:ascii="Arial" w:hAnsi="Arial" w:cs="Arial"/>
                <w:bCs/>
                <w:sz w:val="24"/>
                <w:szCs w:val="24"/>
              </w:rPr>
              <w:t xml:space="preserve">Nowe kompetencje posłużą wsparciu osób/osoby z określoną </w:t>
            </w:r>
            <w:proofErr w:type="gramStart"/>
            <w:r w:rsidRPr="00B75F78">
              <w:rPr>
                <w:rFonts w:ascii="Arial" w:hAnsi="Arial" w:cs="Arial"/>
                <w:bCs/>
                <w:sz w:val="24"/>
                <w:szCs w:val="24"/>
              </w:rPr>
              <w:t>niepełnosprawnością (jako</w:t>
            </w:r>
            <w:proofErr w:type="gramEnd"/>
            <w:r w:rsidRPr="00B75F78">
              <w:rPr>
                <w:rFonts w:ascii="Arial" w:hAnsi="Arial" w:cs="Arial"/>
                <w:bCs/>
                <w:sz w:val="24"/>
                <w:szCs w:val="24"/>
              </w:rPr>
              <w:t xml:space="preserve"> klienta i pracownika sądu) w sposób właściwy, z zachowaniem podmiotowości tej osoby i wykluczą stereotypowe myślenie o niepełnosprawności. Dzięki takim szkoleniom pracownicy sądów będą potrafili wchodzić w prawidłowe relacje z tego rodzaju grupą klientów nie generując niepotrzebnych nieporozumień. </w:t>
            </w:r>
          </w:p>
          <w:p w14:paraId="2212C914"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bCs/>
                <w:sz w:val="24"/>
                <w:szCs w:val="24"/>
              </w:rPr>
              <w:t xml:space="preserve">Ponadto w ramach projektu zostaną opracowane i udostępnione dla sądów szkolenia e-learningowe </w:t>
            </w:r>
            <w:r w:rsidRPr="00B75F78">
              <w:rPr>
                <w:rFonts w:ascii="Arial" w:hAnsi="Arial" w:cs="Arial"/>
                <w:sz w:val="24"/>
                <w:szCs w:val="24"/>
              </w:rPr>
              <w:t>przeznaczone m.in. dla pracowników sądów, którzy nie uczestniczyli w szkoleniach stacjonarnych oraz dla nowych pracowników. Platforma szkoleniowa stanowić będzie kompendium wiedzy z zagadnień omawianych podczas szkoleń stacjonarnych. Dzięki systemowi samodzielnej nauki zdalnej umożliwi pracownikom podniesienie kompetencji w indywidualnie wybranym czasie.</w:t>
            </w:r>
          </w:p>
          <w:p w14:paraId="45B8BF4F" w14:textId="77777777" w:rsidR="00B75F78" w:rsidRPr="00B75F78" w:rsidRDefault="00B75F78" w:rsidP="00B75F78">
            <w:pPr>
              <w:spacing w:before="120" w:after="120" w:line="360" w:lineRule="auto"/>
              <w:rPr>
                <w:rFonts w:ascii="Arial" w:hAnsi="Arial" w:cs="Arial"/>
                <w:bCs/>
                <w:sz w:val="24"/>
                <w:szCs w:val="24"/>
                <w:lang w:val="x-none"/>
              </w:rPr>
            </w:pPr>
            <w:r w:rsidRPr="00B75F78">
              <w:rPr>
                <w:rFonts w:ascii="Arial" w:hAnsi="Arial" w:cs="Arial"/>
                <w:bCs/>
                <w:sz w:val="24"/>
                <w:szCs w:val="24"/>
                <w:lang w:val="x-none"/>
              </w:rPr>
              <w:t>Ostatnim etapem będzie weryfikacja wyników wdrożenia Modelu Dostępnego Sądu oraz ocena efektów przeprowadzonych szkoleń. Efekty wdrożenia Modelu Dostępnego Sądu zostaną ocenione w drodze końcowego audytu dostępności</w:t>
            </w:r>
            <w:r w:rsidRPr="00B75F78">
              <w:rPr>
                <w:rFonts w:ascii="Arial" w:hAnsi="Arial" w:cs="Arial"/>
                <w:bCs/>
                <w:sz w:val="24"/>
                <w:szCs w:val="24"/>
              </w:rPr>
              <w:t>, przeprowadzonego</w:t>
            </w:r>
            <w:r w:rsidRPr="00B75F78">
              <w:rPr>
                <w:rFonts w:ascii="Arial" w:hAnsi="Arial" w:cs="Arial"/>
                <w:bCs/>
                <w:sz w:val="24"/>
                <w:szCs w:val="24"/>
                <w:lang w:val="x-none"/>
              </w:rPr>
              <w:t xml:space="preserve"> przez ekspertów </w:t>
            </w:r>
            <w:r w:rsidRPr="00B75F78">
              <w:rPr>
                <w:rFonts w:ascii="Arial" w:hAnsi="Arial" w:cs="Arial"/>
                <w:bCs/>
                <w:sz w:val="24"/>
                <w:szCs w:val="24"/>
              </w:rPr>
              <w:t>dokonanego</w:t>
            </w:r>
            <w:r w:rsidRPr="00B75F78">
              <w:rPr>
                <w:rFonts w:ascii="Arial" w:hAnsi="Arial" w:cs="Arial"/>
                <w:bCs/>
                <w:sz w:val="24"/>
                <w:szCs w:val="24"/>
                <w:lang w:val="x-none"/>
              </w:rPr>
              <w:t xml:space="preserve"> po zakończeniu prac związanych z doposażeniem sądów i wykonaniem niezbędnych prac architektoniczno-budowlanych. Efekty przeprowadzonych szkoleń zostaną ocenione za pomocą ankiety ewaluacyjnej, opracowanej przez Zespół Doradczy. Będzie ona obejmowała: </w:t>
            </w:r>
            <w:proofErr w:type="spellStart"/>
            <w:r w:rsidRPr="00B75F78">
              <w:rPr>
                <w:rFonts w:ascii="Arial" w:hAnsi="Arial" w:cs="Arial"/>
                <w:bCs/>
                <w:sz w:val="24"/>
                <w:szCs w:val="24"/>
                <w:lang w:val="x-none"/>
              </w:rPr>
              <w:t>pre</w:t>
            </w:r>
            <w:proofErr w:type="spellEnd"/>
            <w:r w:rsidRPr="00B75F78">
              <w:rPr>
                <w:rFonts w:ascii="Arial" w:hAnsi="Arial" w:cs="Arial"/>
                <w:bCs/>
                <w:sz w:val="24"/>
                <w:szCs w:val="24"/>
                <w:lang w:val="x-none"/>
              </w:rPr>
              <w:t xml:space="preserve"> test (stan wiedzy uczestnika przed rozpoczęciem szkolenia), post test (stan wiedzy uczestnika po zakończeniu szkolenia) oraz ocenę szkolenia </w:t>
            </w:r>
            <w:r w:rsidRPr="00B75F78">
              <w:rPr>
                <w:rFonts w:ascii="Arial" w:hAnsi="Arial" w:cs="Arial"/>
                <w:bCs/>
                <w:sz w:val="24"/>
                <w:szCs w:val="24"/>
              </w:rPr>
              <w:t xml:space="preserve">wystawioną </w:t>
            </w:r>
            <w:r w:rsidRPr="00B75F78">
              <w:rPr>
                <w:rFonts w:ascii="Arial" w:hAnsi="Arial" w:cs="Arial"/>
                <w:bCs/>
                <w:sz w:val="24"/>
                <w:szCs w:val="24"/>
                <w:lang w:val="x-none"/>
              </w:rPr>
              <w:t xml:space="preserve">przez uczestnika (po jego zakończeniu). Na podstawie zebranych informacji Zespół </w:t>
            </w:r>
            <w:r w:rsidRPr="00B75F78">
              <w:rPr>
                <w:rFonts w:ascii="Arial" w:hAnsi="Arial" w:cs="Arial"/>
                <w:bCs/>
                <w:sz w:val="24"/>
                <w:szCs w:val="24"/>
                <w:lang w:val="x-none"/>
              </w:rPr>
              <w:lastRenderedPageBreak/>
              <w:t>Doradczy sporządzi raport końcowy z</w:t>
            </w:r>
            <w:r w:rsidRPr="00B75F78">
              <w:rPr>
                <w:rFonts w:ascii="Arial" w:hAnsi="Arial" w:cs="Arial"/>
                <w:bCs/>
                <w:sz w:val="24"/>
                <w:szCs w:val="24"/>
              </w:rPr>
              <w:t xml:space="preserve"> wdrożenia Modelu Dostępnego Sądu, w szczególności odnoszący się do mierników dostępności</w:t>
            </w:r>
            <w:r w:rsidRPr="00B75F78">
              <w:rPr>
                <w:rFonts w:ascii="Arial" w:hAnsi="Arial" w:cs="Arial"/>
                <w:bCs/>
                <w:sz w:val="24"/>
                <w:szCs w:val="24"/>
                <w:lang w:val="x-none"/>
              </w:rPr>
              <w:t>.</w:t>
            </w:r>
          </w:p>
        </w:tc>
      </w:tr>
      <w:bookmarkEnd w:id="9"/>
      <w:tr w:rsidR="00B75F78" w:rsidRPr="00B75F78" w14:paraId="290AE6CB" w14:textId="77777777" w:rsidTr="00B81D3B">
        <w:trPr>
          <w:trHeight w:val="636"/>
        </w:trPr>
        <w:tc>
          <w:tcPr>
            <w:tcW w:w="9356" w:type="dxa"/>
            <w:gridSpan w:val="17"/>
            <w:tcBorders>
              <w:top w:val="single" w:sz="2" w:space="0" w:color="auto"/>
              <w:bottom w:val="single" w:sz="2" w:space="0" w:color="auto"/>
            </w:tcBorders>
            <w:shd w:val="clear" w:color="auto" w:fill="CCC0D9"/>
            <w:vAlign w:val="center"/>
          </w:tcPr>
          <w:p w14:paraId="420DDE03" w14:textId="77777777" w:rsidR="00B75F78" w:rsidRPr="00B75F78" w:rsidRDefault="00B75F78" w:rsidP="00B75F78">
            <w:pPr>
              <w:spacing w:line="360" w:lineRule="auto"/>
              <w:rPr>
                <w:rFonts w:ascii="Arial" w:hAnsi="Arial" w:cs="Arial"/>
                <w:sz w:val="24"/>
                <w:szCs w:val="24"/>
              </w:rPr>
            </w:pPr>
            <w:r w:rsidRPr="00B75F78">
              <w:rPr>
                <w:rFonts w:ascii="Arial" w:hAnsi="Arial" w:cs="Arial"/>
                <w:sz w:val="24"/>
                <w:szCs w:val="24"/>
              </w:rPr>
              <w:lastRenderedPageBreak/>
              <w:t>Główne zadania przewidziane do realizacji w projekcie ze wskazaniem grup docelowych</w:t>
            </w:r>
          </w:p>
        </w:tc>
      </w:tr>
      <w:tr w:rsidR="00B75F78" w:rsidRPr="00B75F78" w14:paraId="3287E6F4" w14:textId="77777777" w:rsidTr="00B81D3B">
        <w:trPr>
          <w:trHeight w:val="567"/>
        </w:trPr>
        <w:tc>
          <w:tcPr>
            <w:tcW w:w="9356" w:type="dxa"/>
            <w:gridSpan w:val="17"/>
            <w:tcBorders>
              <w:top w:val="single" w:sz="4" w:space="0" w:color="auto"/>
              <w:bottom w:val="single" w:sz="4" w:space="0" w:color="auto"/>
            </w:tcBorders>
            <w:shd w:val="clear" w:color="auto" w:fill="auto"/>
            <w:vAlign w:val="center"/>
          </w:tcPr>
          <w:p w14:paraId="2244BB16" w14:textId="77777777" w:rsidR="00B75F78" w:rsidRPr="00B75F78" w:rsidRDefault="00B75F78" w:rsidP="00B75F78">
            <w:pPr>
              <w:numPr>
                <w:ilvl w:val="0"/>
                <w:numId w:val="32"/>
              </w:numPr>
              <w:spacing w:after="160" w:line="360" w:lineRule="auto"/>
              <w:contextualSpacing/>
              <w:rPr>
                <w:rFonts w:ascii="Arial" w:hAnsi="Arial" w:cs="Arial"/>
                <w:b/>
                <w:bCs/>
                <w:sz w:val="24"/>
                <w:szCs w:val="24"/>
              </w:rPr>
            </w:pPr>
            <w:bookmarkStart w:id="11" w:name="_Hlk41152834"/>
            <w:r w:rsidRPr="00B75F78">
              <w:rPr>
                <w:rFonts w:ascii="Arial" w:hAnsi="Arial" w:cs="Arial"/>
                <w:b/>
                <w:bCs/>
                <w:sz w:val="24"/>
                <w:szCs w:val="24"/>
              </w:rPr>
              <w:t>Prace Zespołu Doradczego: opracowanie Programu Dostępnego Sądu, ram programowych szkoleń oraz raportu końcowego.</w:t>
            </w:r>
          </w:p>
          <w:p w14:paraId="41C9FD74" w14:textId="77777777" w:rsidR="00B75F78" w:rsidRPr="00B75F78" w:rsidRDefault="00B75F78" w:rsidP="00B75F78">
            <w:pPr>
              <w:spacing w:after="160" w:line="360" w:lineRule="auto"/>
              <w:contextualSpacing/>
              <w:rPr>
                <w:rFonts w:ascii="Arial" w:hAnsi="Arial" w:cs="Arial"/>
                <w:sz w:val="24"/>
                <w:szCs w:val="24"/>
              </w:rPr>
            </w:pPr>
            <w:r w:rsidRPr="00B75F78">
              <w:rPr>
                <w:rFonts w:ascii="Arial" w:hAnsi="Arial" w:cs="Arial"/>
                <w:sz w:val="24"/>
                <w:szCs w:val="24"/>
              </w:rPr>
              <w:t xml:space="preserve">Do realizacji projektu zostanie wyłoniony Zespół Doradczy składający się z ekspertów z zakresu zagadnień związanych z potrzebami osób z niepełnosprawnościami. Eksperci zostaną wyłonieni w drodze konkursowej. Wymagane będzie, aby reprezentowali szerokie spektrum zagadnień związanych z niepełnosprawnościami, czyli reprezentowali grupy osób niewidomych i słabowidzących, niesłyszących, z niepełnosprawnością intelektualną oraz niepełnosprawnościami ruchowymi. Ponadto do Zespołu Doradczego wybrani zostaną w drodze konkursowej eksperci z zakresu dostępności architektonicznej, dostępności cyfrowej oraz zagadnień prawnych związanych z przedmiotem projektu. W Zespole Doradczym wezmą również udział osoby posiadające wiedzę na temat funkcjonowania i specyfiki pracy sądów (np. Prezes Sądu lub Dyrektor Sądu). Planowany skład Zespołu Doradczego to 7-10 osób. </w:t>
            </w:r>
          </w:p>
          <w:p w14:paraId="7D0D2966" w14:textId="1BEB3ABB" w:rsidR="00C85554" w:rsidRDefault="00B75F78" w:rsidP="00B75F78">
            <w:pPr>
              <w:spacing w:after="160" w:line="360" w:lineRule="auto"/>
              <w:contextualSpacing/>
              <w:rPr>
                <w:rFonts w:ascii="Arial" w:hAnsi="Arial" w:cs="Arial"/>
                <w:sz w:val="24"/>
                <w:szCs w:val="24"/>
              </w:rPr>
            </w:pPr>
            <w:r w:rsidRPr="00B75F78">
              <w:rPr>
                <w:rFonts w:ascii="Arial" w:hAnsi="Arial" w:cs="Arial"/>
                <w:sz w:val="24"/>
                <w:szCs w:val="24"/>
              </w:rPr>
              <w:t>Zespół Doradczy opracuje Model Dostępnego Sądu, który będzie zawierał stopniowalne, trzyetapowe wytyczne dotyczące niezbędnego wyposażenia oraz udogodnień architektonicznych dla sądów. Po opracowaniu Modelu Dostępnego Sądu</w:t>
            </w:r>
            <w:r w:rsidR="00C85554">
              <w:rPr>
                <w:rFonts w:ascii="Arial" w:hAnsi="Arial" w:cs="Arial"/>
                <w:sz w:val="24"/>
                <w:szCs w:val="24"/>
              </w:rPr>
              <w:t xml:space="preserve"> zostanie on poddany konsultacjom z ekspertami oraz interesariuszami, w tym z Radą Dostępności. </w:t>
            </w:r>
            <w:r w:rsidR="00A66F85">
              <w:rPr>
                <w:rFonts w:ascii="Arial" w:hAnsi="Arial" w:cs="Arial"/>
                <w:sz w:val="24"/>
                <w:szCs w:val="24"/>
              </w:rPr>
              <w:t>Następnie,</w:t>
            </w:r>
            <w:r w:rsidRPr="00B75F78">
              <w:rPr>
                <w:rFonts w:ascii="Arial" w:hAnsi="Arial" w:cs="Arial"/>
                <w:sz w:val="24"/>
                <w:szCs w:val="24"/>
              </w:rPr>
              <w:t xml:space="preserve"> przy udziale Zespołu Doradczego</w:t>
            </w:r>
            <w:r w:rsidR="00A66F85">
              <w:rPr>
                <w:rFonts w:ascii="Arial" w:hAnsi="Arial" w:cs="Arial"/>
                <w:sz w:val="24"/>
                <w:szCs w:val="24"/>
              </w:rPr>
              <w:t>,</w:t>
            </w:r>
            <w:r w:rsidRPr="00B75F78">
              <w:rPr>
                <w:rFonts w:ascii="Arial" w:hAnsi="Arial" w:cs="Arial"/>
                <w:sz w:val="24"/>
                <w:szCs w:val="24"/>
              </w:rPr>
              <w:t xml:space="preserve"> </w:t>
            </w:r>
            <w:r w:rsidR="00C85554">
              <w:rPr>
                <w:rFonts w:ascii="Arial" w:hAnsi="Arial" w:cs="Arial"/>
                <w:sz w:val="24"/>
                <w:szCs w:val="24"/>
              </w:rPr>
              <w:t>–</w:t>
            </w:r>
            <w:r w:rsidRPr="00B75F78">
              <w:rPr>
                <w:rFonts w:ascii="Arial" w:hAnsi="Arial" w:cs="Arial"/>
                <w:sz w:val="24"/>
                <w:szCs w:val="24"/>
              </w:rPr>
              <w:t xml:space="preserve"> </w:t>
            </w:r>
          </w:p>
          <w:p w14:paraId="7CFA1B39" w14:textId="77777777" w:rsidR="00B75F78" w:rsidRPr="00B75F78" w:rsidRDefault="00B75F78" w:rsidP="00B75F78">
            <w:pPr>
              <w:spacing w:after="160" w:line="360" w:lineRule="auto"/>
              <w:contextualSpacing/>
              <w:rPr>
                <w:rFonts w:ascii="Arial" w:hAnsi="Arial" w:cs="Arial"/>
                <w:sz w:val="24"/>
                <w:szCs w:val="24"/>
              </w:rPr>
            </w:pPr>
            <w:proofErr w:type="gramStart"/>
            <w:r w:rsidRPr="00B75F78">
              <w:rPr>
                <w:rFonts w:ascii="Arial" w:hAnsi="Arial" w:cs="Arial"/>
                <w:sz w:val="24"/>
                <w:szCs w:val="24"/>
              </w:rPr>
              <w:t>przeprowadzona</w:t>
            </w:r>
            <w:proofErr w:type="gramEnd"/>
            <w:r w:rsidRPr="00B75F78">
              <w:rPr>
                <w:rFonts w:ascii="Arial" w:hAnsi="Arial" w:cs="Arial"/>
                <w:sz w:val="24"/>
                <w:szCs w:val="24"/>
              </w:rPr>
              <w:t xml:space="preserve"> zostanie procedura wyłonienia 35 sądów, które zostaną w ramach projektu doposażone w sprzęt poprawiający dostępność (np. pętle indukcyjne, oznakowania piktograficzne, listwy naprowadzające) oraz w których zostaną wykonane prace adaptacyjne budynków zgodnie z potrzebami osób z niepełnosprawnościami. </w:t>
            </w:r>
          </w:p>
          <w:p w14:paraId="21F34C93" w14:textId="77777777" w:rsidR="00B75F78" w:rsidRPr="00B75F78" w:rsidRDefault="00B75F78" w:rsidP="00B75F78">
            <w:pPr>
              <w:spacing w:after="160" w:line="360" w:lineRule="auto"/>
              <w:contextualSpacing/>
              <w:rPr>
                <w:rFonts w:ascii="Arial" w:hAnsi="Arial" w:cs="Arial"/>
                <w:sz w:val="24"/>
                <w:szCs w:val="24"/>
              </w:rPr>
            </w:pPr>
            <w:r w:rsidRPr="00B75F78">
              <w:rPr>
                <w:rFonts w:ascii="Arial" w:hAnsi="Arial" w:cs="Arial"/>
                <w:sz w:val="24"/>
                <w:szCs w:val="24"/>
              </w:rPr>
              <w:t xml:space="preserve">Ponadto Zespół Doradczy opracuje ramy programowe szkoleń, zawierający założenia szkoleniowe dla poszczególnych sześciu grup docelowych z uwzględnieniem ich specyficznej roli w procesie usprawniania dostępności dla osób z niepełnosprawnościami. Do opracowania założeń programowych zostaną wykorzystane również istniejące programy szkoleniowe opracowane na potrzeby </w:t>
            </w:r>
            <w:r w:rsidRPr="00B75F78">
              <w:rPr>
                <w:rFonts w:ascii="Arial" w:hAnsi="Arial" w:cs="Arial"/>
                <w:sz w:val="24"/>
                <w:szCs w:val="24"/>
              </w:rPr>
              <w:lastRenderedPageBreak/>
              <w:t xml:space="preserve">innych projektów np.: „Dostępna szkoła”, „Dostępna placówka służby zdrowia”, „Dostępny urząd”, „Bliżej dostępności” w zakresie uwzględniającym specyfikę pracy sądów oraz rolę instytucji. </w:t>
            </w:r>
          </w:p>
          <w:p w14:paraId="0DCD686A" w14:textId="77777777" w:rsidR="00B75F78" w:rsidRPr="00B75F78" w:rsidRDefault="00B75F78" w:rsidP="00B75F78">
            <w:pPr>
              <w:spacing w:after="160" w:line="360" w:lineRule="auto"/>
              <w:contextualSpacing/>
              <w:rPr>
                <w:rFonts w:ascii="Arial" w:hAnsi="Arial" w:cs="Arial"/>
                <w:sz w:val="24"/>
                <w:szCs w:val="24"/>
              </w:rPr>
            </w:pPr>
            <w:r w:rsidRPr="00B75F78">
              <w:rPr>
                <w:rFonts w:ascii="Arial" w:hAnsi="Arial" w:cs="Arial"/>
                <w:sz w:val="24"/>
                <w:szCs w:val="24"/>
              </w:rPr>
              <w:t xml:space="preserve">Na podstawie tak stworzonych ram programowych zostanie ogłoszony konkurs na wyłonienie wykonawców szkoleń, ze szczególnym uwzględnieniem oczekiwań związanych z kwalifikacjami szkoleniowców oraz przekazywanych treści. Ponadto Zespół Doradczy będzie czuwał nad procesem szkoleń i weryfikował programy szkoleniowe opracowane przez wykonawców szkoleń. </w:t>
            </w:r>
          </w:p>
          <w:p w14:paraId="1C2B6926" w14:textId="77777777" w:rsidR="00B75F78" w:rsidRPr="00B75F78" w:rsidRDefault="00B75F78" w:rsidP="00B75F78">
            <w:pPr>
              <w:spacing w:after="160" w:line="360" w:lineRule="auto"/>
              <w:contextualSpacing/>
              <w:rPr>
                <w:rFonts w:ascii="Arial" w:hAnsi="Arial" w:cs="Arial"/>
                <w:sz w:val="24"/>
                <w:szCs w:val="24"/>
              </w:rPr>
            </w:pPr>
            <w:r w:rsidRPr="00B75F78">
              <w:rPr>
                <w:rFonts w:ascii="Arial" w:hAnsi="Arial" w:cs="Arial"/>
                <w:sz w:val="24"/>
                <w:szCs w:val="24"/>
              </w:rPr>
              <w:t xml:space="preserve"> Po zakończeniu działań projektowych nastąpi weryfikacja wyników wdrożenia Modelu Dostępnego Sądu oraz efektów przeprowadzonych szkoleń. Wyniki doposażenia oceni zewnętrzny audyt dostępności. Weryfikacja efektów szkoleń nastąpi za pomocą ankiety ewaluacyjnej przygotowanej przez Zespół Doradczy i przeprowadzonej na zakończenie szkoleń. Końcowym efektem projektu będzie raport z przeprowadzonego doposażenia sądów (wdrożenia Modelu Dostępnego Sądu) oraz wyników szkoleń przygotowany przez Zespół Doradczy.</w:t>
            </w:r>
          </w:p>
          <w:p w14:paraId="486DAAF3" w14:textId="77777777" w:rsidR="00B75F78" w:rsidRPr="00B75F78" w:rsidRDefault="00B75F78" w:rsidP="00B75F78">
            <w:pPr>
              <w:numPr>
                <w:ilvl w:val="0"/>
                <w:numId w:val="32"/>
              </w:numPr>
              <w:spacing w:after="160" w:line="360" w:lineRule="auto"/>
              <w:contextualSpacing/>
              <w:rPr>
                <w:rFonts w:ascii="Arial" w:hAnsi="Arial" w:cs="Arial"/>
                <w:b/>
                <w:bCs/>
                <w:sz w:val="24"/>
                <w:szCs w:val="24"/>
              </w:rPr>
            </w:pPr>
            <w:r w:rsidRPr="00B75F78">
              <w:rPr>
                <w:rFonts w:ascii="Arial" w:hAnsi="Arial" w:cs="Arial"/>
                <w:b/>
                <w:bCs/>
                <w:sz w:val="24"/>
                <w:szCs w:val="24"/>
              </w:rPr>
              <w:t>Doposażenie wybranych sądów oraz przeprowadzenie prac modernizacyjnych i adaptacji architektonicznych</w:t>
            </w:r>
          </w:p>
          <w:p w14:paraId="32440571" w14:textId="77777777" w:rsidR="00B75F78" w:rsidRPr="00B75F78" w:rsidRDefault="00B75F78" w:rsidP="00B75F78">
            <w:pPr>
              <w:spacing w:line="360" w:lineRule="auto"/>
              <w:rPr>
                <w:rFonts w:ascii="Arial" w:hAnsi="Arial" w:cs="Arial"/>
                <w:sz w:val="24"/>
                <w:szCs w:val="24"/>
                <w:lang w:val="x-none"/>
              </w:rPr>
            </w:pPr>
            <w:r w:rsidRPr="00B75F78">
              <w:rPr>
                <w:rFonts w:ascii="Arial" w:hAnsi="Arial" w:cs="Arial"/>
                <w:sz w:val="24"/>
                <w:szCs w:val="24"/>
                <w:lang w:val="x-none"/>
              </w:rPr>
              <w:t xml:space="preserve">W </w:t>
            </w:r>
            <w:r w:rsidRPr="00B75F78">
              <w:rPr>
                <w:rFonts w:ascii="Arial" w:hAnsi="Arial" w:cs="Arial"/>
                <w:sz w:val="24"/>
                <w:szCs w:val="24"/>
              </w:rPr>
              <w:t xml:space="preserve">efekcie kilkustopniowej weryfikacji uwzględniającej Model Dostępnego Sądu, rekomendacje Sądów Apelacyjnych oraz wyniki zewnętrznego audytu dostępności, Zespół Doradczy wyłoni 35 sądów do udziału w projekcie (z 55 zgłoszonych sądów, co pozwoli na stworzenie listy rezerwowej sądów) oraz zakres zakupów i prac, jaki zostanie w nich wykonany w celu realizacji zasad dostępności dla osób z niepełnosprawnościami. </w:t>
            </w:r>
            <w:r w:rsidRPr="00B75F78">
              <w:rPr>
                <w:rFonts w:ascii="Arial" w:hAnsi="Arial" w:cs="Arial"/>
                <w:sz w:val="24"/>
                <w:szCs w:val="24"/>
                <w:lang w:val="x-none"/>
              </w:rPr>
              <w:t xml:space="preserve">Wyłonione sądy będą odpowiedzialne za zorganizowanie przetargów na zasadach ogólnych i zakup niezbędnych urządzeń lub wykonanie niezbędnych prac dostosowawczych zgodnie z ustalonym planem. </w:t>
            </w:r>
          </w:p>
          <w:p w14:paraId="76919FBB" w14:textId="77777777" w:rsidR="00B75F78" w:rsidRPr="00B75F78" w:rsidRDefault="00B75F78" w:rsidP="00B75F78">
            <w:pPr>
              <w:spacing w:line="360" w:lineRule="auto"/>
              <w:rPr>
                <w:rFonts w:ascii="Arial" w:hAnsi="Arial" w:cs="Arial"/>
                <w:sz w:val="24"/>
                <w:szCs w:val="24"/>
              </w:rPr>
            </w:pPr>
            <w:r w:rsidRPr="00B75F78">
              <w:rPr>
                <w:rFonts w:ascii="Arial" w:hAnsi="Arial" w:cs="Arial"/>
                <w:bCs/>
                <w:sz w:val="24"/>
                <w:szCs w:val="24"/>
              </w:rPr>
              <w:t>Przykładowo możliwe do zakupu urządzenia to</w:t>
            </w:r>
            <w:r w:rsidRPr="00B75F78">
              <w:rPr>
                <w:rFonts w:ascii="Arial" w:hAnsi="Arial" w:cs="Arial"/>
                <w:sz w:val="24"/>
                <w:szCs w:val="24"/>
              </w:rPr>
              <w:t xml:space="preserve">: mapy </w:t>
            </w:r>
            <w:proofErr w:type="spellStart"/>
            <w:r w:rsidRPr="00B75F78">
              <w:rPr>
                <w:rFonts w:ascii="Arial" w:hAnsi="Arial" w:cs="Arial"/>
                <w:sz w:val="24"/>
                <w:szCs w:val="24"/>
              </w:rPr>
              <w:t>tyflograficzne</w:t>
            </w:r>
            <w:proofErr w:type="spellEnd"/>
            <w:r w:rsidRPr="00B75F78">
              <w:rPr>
                <w:rFonts w:ascii="Arial" w:hAnsi="Arial" w:cs="Arial"/>
                <w:sz w:val="24"/>
                <w:szCs w:val="24"/>
              </w:rPr>
              <w:t xml:space="preserve">, pętle indukcyjne, tabliczki informujące o funkcji pomieszczenia w formie wizualnej oraz dotykowej, oznakowania kierunkowe, systemy informacji wizualnej (piktogramy) ułatwiające poruszanie się dla osób z niepełnosprawnością intelektualną, podjazdy, drzwi automatyczne, windy, uchwyty w toaletach, szerokie drzwi itp. </w:t>
            </w:r>
          </w:p>
          <w:p w14:paraId="4BA9C76A" w14:textId="632AD7DC" w:rsidR="00B75F78" w:rsidRDefault="00B75F78" w:rsidP="00B75F78">
            <w:pPr>
              <w:spacing w:line="360" w:lineRule="auto"/>
              <w:rPr>
                <w:rFonts w:ascii="Arial" w:hAnsi="Arial" w:cs="Arial"/>
                <w:sz w:val="24"/>
                <w:szCs w:val="24"/>
                <w:lang w:val="x-none"/>
              </w:rPr>
            </w:pPr>
            <w:r w:rsidRPr="00B75F78">
              <w:rPr>
                <w:rFonts w:ascii="Arial" w:hAnsi="Arial" w:cs="Arial"/>
                <w:sz w:val="24"/>
                <w:szCs w:val="24"/>
                <w:lang w:val="x-none"/>
              </w:rPr>
              <w:t xml:space="preserve">Rozliczenie </w:t>
            </w:r>
            <w:r w:rsidRPr="00B75F78">
              <w:rPr>
                <w:rFonts w:ascii="Arial" w:hAnsi="Arial" w:cs="Arial"/>
                <w:sz w:val="24"/>
                <w:szCs w:val="24"/>
              </w:rPr>
              <w:t xml:space="preserve">dokonanych zakupów urządzeń oraz prac adaptacyjno budowlanych </w:t>
            </w:r>
            <w:r w:rsidRPr="00B75F78">
              <w:rPr>
                <w:rFonts w:ascii="Arial" w:hAnsi="Arial" w:cs="Arial"/>
                <w:sz w:val="24"/>
                <w:szCs w:val="24"/>
                <w:lang w:val="x-none"/>
              </w:rPr>
              <w:t>nastąpi na podstawie przedstawionych faktur za wykonane usługi lub zakupy.</w:t>
            </w:r>
          </w:p>
          <w:p w14:paraId="7DA8052F" w14:textId="05CC73BF" w:rsidR="008E0AA7" w:rsidRPr="00B75F78" w:rsidRDefault="008E0AA7" w:rsidP="00B75F78">
            <w:pPr>
              <w:spacing w:line="360" w:lineRule="auto"/>
              <w:rPr>
                <w:rFonts w:ascii="Arial" w:hAnsi="Arial" w:cs="Arial"/>
                <w:sz w:val="24"/>
                <w:szCs w:val="24"/>
              </w:rPr>
            </w:pPr>
            <w:r>
              <w:rPr>
                <w:rFonts w:ascii="Arial" w:hAnsi="Arial" w:cs="Arial"/>
                <w:sz w:val="24"/>
                <w:szCs w:val="24"/>
              </w:rPr>
              <w:lastRenderedPageBreak/>
              <w:t>N</w:t>
            </w:r>
            <w:r w:rsidRPr="008E0AA7">
              <w:rPr>
                <w:rFonts w:ascii="Arial" w:hAnsi="Arial" w:cs="Arial"/>
                <w:sz w:val="24"/>
                <w:szCs w:val="24"/>
              </w:rPr>
              <w:t>a każdym etapie wdrażania Modelu Dostępnego Sądu</w:t>
            </w:r>
            <w:r>
              <w:t xml:space="preserve"> </w:t>
            </w:r>
            <w:r w:rsidRPr="008E0AA7">
              <w:rPr>
                <w:rFonts w:ascii="Arial" w:hAnsi="Arial" w:cs="Arial"/>
                <w:sz w:val="24"/>
                <w:szCs w:val="24"/>
              </w:rPr>
              <w:t>sądom</w:t>
            </w:r>
            <w:r>
              <w:rPr>
                <w:rFonts w:ascii="Arial" w:hAnsi="Arial" w:cs="Arial"/>
                <w:sz w:val="24"/>
                <w:szCs w:val="24"/>
              </w:rPr>
              <w:t xml:space="preserve"> zostanie zapewnione</w:t>
            </w:r>
            <w:r w:rsidRPr="008E0AA7">
              <w:rPr>
                <w:rFonts w:ascii="Arial" w:hAnsi="Arial" w:cs="Arial"/>
                <w:sz w:val="24"/>
                <w:szCs w:val="24"/>
              </w:rPr>
              <w:t xml:space="preserve"> wsparci</w:t>
            </w:r>
            <w:r>
              <w:rPr>
                <w:rFonts w:ascii="Arial" w:hAnsi="Arial" w:cs="Arial"/>
                <w:sz w:val="24"/>
                <w:szCs w:val="24"/>
              </w:rPr>
              <w:t>e</w:t>
            </w:r>
            <w:r w:rsidRPr="008E0AA7">
              <w:rPr>
                <w:rFonts w:ascii="Arial" w:hAnsi="Arial" w:cs="Arial"/>
                <w:sz w:val="24"/>
                <w:szCs w:val="24"/>
              </w:rPr>
              <w:t xml:space="preserve"> doradcze</w:t>
            </w:r>
            <w:r>
              <w:rPr>
                <w:rFonts w:ascii="Arial" w:hAnsi="Arial" w:cs="Arial"/>
                <w:sz w:val="24"/>
                <w:szCs w:val="24"/>
              </w:rPr>
              <w:t>.</w:t>
            </w:r>
          </w:p>
          <w:p w14:paraId="4B53F85C" w14:textId="77777777" w:rsidR="00B75F78" w:rsidRPr="00B75F78" w:rsidRDefault="00B75F78" w:rsidP="00B75F78">
            <w:pPr>
              <w:numPr>
                <w:ilvl w:val="0"/>
                <w:numId w:val="32"/>
              </w:numPr>
              <w:spacing w:after="160" w:line="360" w:lineRule="auto"/>
              <w:contextualSpacing/>
              <w:rPr>
                <w:rFonts w:ascii="Arial" w:hAnsi="Arial" w:cs="Arial"/>
                <w:b/>
                <w:bCs/>
                <w:sz w:val="24"/>
                <w:szCs w:val="24"/>
              </w:rPr>
            </w:pPr>
            <w:bookmarkStart w:id="12" w:name="_Hlk41475029"/>
            <w:r w:rsidRPr="00B75F78">
              <w:rPr>
                <w:rFonts w:ascii="Arial" w:hAnsi="Arial" w:cs="Arial"/>
                <w:b/>
                <w:bCs/>
                <w:sz w:val="24"/>
                <w:szCs w:val="24"/>
              </w:rPr>
              <w:t>Przeprowadzenie szkoleń</w:t>
            </w:r>
          </w:p>
          <w:p w14:paraId="6F6BCCDE" w14:textId="77777777" w:rsidR="00B75F78" w:rsidRPr="00B75F78" w:rsidRDefault="00B75F78" w:rsidP="00B75F78">
            <w:pPr>
              <w:spacing w:after="160" w:line="360" w:lineRule="auto"/>
              <w:contextualSpacing/>
              <w:rPr>
                <w:rFonts w:ascii="Arial" w:hAnsi="Arial" w:cs="Arial"/>
                <w:b/>
                <w:bCs/>
                <w:sz w:val="24"/>
                <w:szCs w:val="24"/>
              </w:rPr>
            </w:pPr>
            <w:proofErr w:type="gramStart"/>
            <w:r w:rsidRPr="00B75F78">
              <w:rPr>
                <w:rFonts w:ascii="Arial" w:hAnsi="Arial" w:cs="Arial"/>
                <w:b/>
                <w:bCs/>
                <w:sz w:val="24"/>
                <w:szCs w:val="24"/>
              </w:rPr>
              <w:t>a</w:t>
            </w:r>
            <w:proofErr w:type="gramEnd"/>
            <w:r w:rsidRPr="00B75F78">
              <w:rPr>
                <w:rFonts w:ascii="Arial" w:hAnsi="Arial" w:cs="Arial"/>
                <w:b/>
                <w:bCs/>
                <w:sz w:val="24"/>
                <w:szCs w:val="24"/>
              </w:rPr>
              <w:t>.</w:t>
            </w:r>
            <w:r w:rsidRPr="00B75F78">
              <w:rPr>
                <w:rFonts w:ascii="Arial" w:hAnsi="Arial" w:cs="Arial"/>
                <w:sz w:val="24"/>
                <w:szCs w:val="24"/>
              </w:rPr>
              <w:t xml:space="preserve"> Dla koordynatorów dostępności ustanowionych w sądach (379 sądów, istnieje możliwość ustanowienia koordynatora dla więcej niż jednego sądu) – ok. 300 osób</w:t>
            </w:r>
            <w:r w:rsidRPr="00B75F78">
              <w:rPr>
                <w:rFonts w:ascii="Arial" w:hAnsi="Arial" w:cs="Arial"/>
                <w:i/>
                <w:iCs/>
                <w:sz w:val="24"/>
                <w:szCs w:val="24"/>
              </w:rPr>
              <w:t xml:space="preserve"> </w:t>
            </w:r>
          </w:p>
          <w:p w14:paraId="159F4C9F" w14:textId="77777777" w:rsidR="00B75F78" w:rsidRPr="00B75F78" w:rsidRDefault="00B75F78" w:rsidP="00B75F78">
            <w:pPr>
              <w:spacing w:after="160" w:line="360" w:lineRule="auto"/>
              <w:contextualSpacing/>
              <w:rPr>
                <w:rFonts w:ascii="Arial" w:hAnsi="Arial" w:cs="Arial"/>
                <w:sz w:val="24"/>
                <w:szCs w:val="24"/>
              </w:rPr>
            </w:pPr>
            <w:r w:rsidRPr="00B75F78">
              <w:rPr>
                <w:rFonts w:ascii="Arial" w:hAnsi="Arial" w:cs="Arial"/>
                <w:sz w:val="24"/>
                <w:szCs w:val="24"/>
              </w:rPr>
              <w:t>Koordynatorzy dostępności zostaną wyznaczeni w sądach na podstawie ustawy z dnia 19 lipca 2019 r. o zapewnieniu dostępności osobom ze szczególnymi potrzebami (Dz.U. z 2019 r. poz</w:t>
            </w:r>
            <w:proofErr w:type="gramStart"/>
            <w:r w:rsidRPr="00B75F78">
              <w:rPr>
                <w:rFonts w:ascii="Arial" w:hAnsi="Arial" w:cs="Arial"/>
                <w:sz w:val="24"/>
                <w:szCs w:val="24"/>
              </w:rPr>
              <w:t>. 1696). Do</w:t>
            </w:r>
            <w:proofErr w:type="gramEnd"/>
            <w:r w:rsidRPr="00B75F78">
              <w:rPr>
                <w:rFonts w:ascii="Arial" w:hAnsi="Arial" w:cs="Arial"/>
                <w:sz w:val="24"/>
                <w:szCs w:val="24"/>
              </w:rPr>
              <w:t xml:space="preserve"> ich głównych działań należeć będzie wsparcie osób ze szczególnymi potrzebami w dostępie do usług świadczonych przez sąd, przygotowanie i koordynacja planu działania na rzecz poprawy zapewnienia dostępności osobom ze szczególnymi potrzebami oraz monitorowanie działalności sądu w zakresie zapewnienia dostępności osobom ze szczególnymi potrzebami. </w:t>
            </w:r>
          </w:p>
          <w:p w14:paraId="1B4B3FDD" w14:textId="77777777" w:rsidR="00B75F78" w:rsidRPr="00B75F78" w:rsidRDefault="00B75F78" w:rsidP="00B75F78">
            <w:pPr>
              <w:spacing w:after="160" w:line="360" w:lineRule="auto"/>
              <w:contextualSpacing/>
              <w:rPr>
                <w:rFonts w:ascii="Arial" w:hAnsi="Arial" w:cs="Arial"/>
                <w:sz w:val="24"/>
                <w:szCs w:val="24"/>
              </w:rPr>
            </w:pPr>
            <w:r w:rsidRPr="00B75F78">
              <w:rPr>
                <w:rFonts w:ascii="Arial" w:hAnsi="Arial" w:cs="Arial"/>
                <w:sz w:val="24"/>
                <w:szCs w:val="24"/>
              </w:rPr>
              <w:t xml:space="preserve">W związku z powyższym szkolenie dla koordynatorów obejmować będzie kwestie związane z obowiązkami wynikającymi z aktualnych przepisów dotyczących </w:t>
            </w:r>
            <w:proofErr w:type="gramStart"/>
            <w:r w:rsidRPr="00B75F78">
              <w:rPr>
                <w:rFonts w:ascii="Arial" w:hAnsi="Arial" w:cs="Arial"/>
                <w:sz w:val="24"/>
                <w:szCs w:val="24"/>
              </w:rPr>
              <w:t>praw</w:t>
            </w:r>
            <w:proofErr w:type="gramEnd"/>
            <w:r w:rsidRPr="00B75F78">
              <w:rPr>
                <w:rFonts w:ascii="Arial" w:hAnsi="Arial" w:cs="Arial"/>
                <w:sz w:val="24"/>
                <w:szCs w:val="24"/>
              </w:rPr>
              <w:t xml:space="preserve"> i potrzeb osób z niepełnosprawnościami, jak również pakiet informacyjny, zawierający niezbędną wiedzę w zakresie przybliżenia kształtu, specyfiki i zasad tworzenia planu działania (w rozumieniu art. 14 ust. 2 pkt 2 ww. ustawy). Pakiet informacyjny będzie stanowił realne wsparcie w procesie wywiązywania się przez Koordynatora z obowiązku stworzenia i koordynacji wdrażania planu działania na rzecz poprawy dostępności w danej instytucji.</w:t>
            </w:r>
          </w:p>
          <w:p w14:paraId="30DDBB6E" w14:textId="77777777" w:rsidR="00B75F78" w:rsidRPr="00B75F78" w:rsidRDefault="00B75F78" w:rsidP="00B75F78">
            <w:pPr>
              <w:spacing w:after="160" w:line="360" w:lineRule="auto"/>
              <w:contextualSpacing/>
              <w:rPr>
                <w:rFonts w:ascii="Arial" w:hAnsi="Arial" w:cs="Arial"/>
                <w:b/>
                <w:bCs/>
                <w:sz w:val="24"/>
                <w:szCs w:val="24"/>
              </w:rPr>
            </w:pPr>
            <w:proofErr w:type="gramStart"/>
            <w:r w:rsidRPr="00B75F78">
              <w:rPr>
                <w:rFonts w:ascii="Arial" w:hAnsi="Arial" w:cs="Arial"/>
                <w:b/>
                <w:bCs/>
                <w:sz w:val="24"/>
                <w:szCs w:val="24"/>
              </w:rPr>
              <w:t>b</w:t>
            </w:r>
            <w:proofErr w:type="gramEnd"/>
            <w:r w:rsidRPr="00B75F78">
              <w:rPr>
                <w:rFonts w:ascii="Arial" w:hAnsi="Arial" w:cs="Arial"/>
                <w:b/>
                <w:bCs/>
                <w:sz w:val="24"/>
                <w:szCs w:val="24"/>
              </w:rPr>
              <w:t xml:space="preserve">. </w:t>
            </w:r>
            <w:r w:rsidRPr="00B75F78">
              <w:rPr>
                <w:rFonts w:ascii="Arial" w:hAnsi="Arial" w:cs="Arial"/>
                <w:sz w:val="24"/>
                <w:szCs w:val="24"/>
              </w:rPr>
              <w:t>Dla Prezesów/Zastępców Prezesów sądów – ok. 300 osób</w:t>
            </w:r>
          </w:p>
          <w:p w14:paraId="456C4300" w14:textId="77777777" w:rsidR="00B75F78" w:rsidRPr="00B75F78" w:rsidRDefault="00B75F78" w:rsidP="00B75F78">
            <w:pPr>
              <w:spacing w:after="160" w:line="360" w:lineRule="auto"/>
              <w:contextualSpacing/>
              <w:rPr>
                <w:rFonts w:ascii="Arial" w:hAnsi="Arial" w:cs="Arial"/>
                <w:sz w:val="24"/>
                <w:szCs w:val="24"/>
              </w:rPr>
            </w:pPr>
            <w:r w:rsidRPr="00B75F78">
              <w:rPr>
                <w:rFonts w:ascii="Arial" w:hAnsi="Arial" w:cs="Arial"/>
                <w:sz w:val="24"/>
                <w:szCs w:val="24"/>
              </w:rPr>
              <w:t xml:space="preserve">Szkolenie dla Prezesów/Zastępców Prezesów sądów ma głównie na celu przekazanie osobom odpowiedzialnym za funkcjonowanie sądów najważniejszych informacji o wymogach oraz potrzebach szkoleniowych związanych z ideą dostępności do wymiaru sprawiedliwości dla osób z niepełnosprawnościami. </w:t>
            </w:r>
            <w:proofErr w:type="gramStart"/>
            <w:r w:rsidRPr="00B75F78">
              <w:rPr>
                <w:rFonts w:ascii="Arial" w:hAnsi="Arial" w:cs="Arial"/>
                <w:sz w:val="24"/>
                <w:szCs w:val="24"/>
              </w:rPr>
              <w:t>Prezesi jako</w:t>
            </w:r>
            <w:proofErr w:type="gramEnd"/>
            <w:r w:rsidRPr="00B75F78">
              <w:rPr>
                <w:rFonts w:ascii="Arial" w:hAnsi="Arial" w:cs="Arial"/>
                <w:sz w:val="24"/>
                <w:szCs w:val="24"/>
              </w:rPr>
              <w:t xml:space="preserve"> osoby decyzyjne odpowiadają za działania sądu jako instytucji i w pierwszej kolejności oni mają wpływ na tworzenie się dobrego klimatu do koniecznych zmian. </w:t>
            </w:r>
            <w:proofErr w:type="spellStart"/>
            <w:r w:rsidRPr="00B75F78">
              <w:rPr>
                <w:rFonts w:ascii="Arial" w:hAnsi="Arial" w:cs="Arial"/>
                <w:sz w:val="24"/>
                <w:szCs w:val="24"/>
              </w:rPr>
              <w:t>Wyindukowanie</w:t>
            </w:r>
            <w:proofErr w:type="spellEnd"/>
            <w:r w:rsidRPr="00B75F78">
              <w:rPr>
                <w:rFonts w:ascii="Arial" w:hAnsi="Arial" w:cs="Arial"/>
                <w:sz w:val="24"/>
                <w:szCs w:val="24"/>
              </w:rPr>
              <w:t xml:space="preserve"> odpowiednich postaw wpłynie na wytworzenie i przekazanie potrzeby udziału w oferowanych w projekcie szkoleniach przez kadrę orzekającą oraz pracowników administracyjnych. W ramach programu szkoleń dla tej grupy docelowej umieszczone zostaną treści zawierające zagadnienia zarządcze oraz organizacyjne mogące usprawnić proces poprawy dostępności sądów.</w:t>
            </w:r>
          </w:p>
          <w:p w14:paraId="6553413F" w14:textId="77777777" w:rsidR="00B75F78" w:rsidRPr="00B75F78" w:rsidRDefault="00B75F78" w:rsidP="00B75F78">
            <w:pPr>
              <w:spacing w:after="160" w:line="360" w:lineRule="auto"/>
              <w:contextualSpacing/>
              <w:rPr>
                <w:rFonts w:ascii="Arial" w:hAnsi="Arial" w:cs="Arial"/>
                <w:sz w:val="24"/>
                <w:szCs w:val="24"/>
              </w:rPr>
            </w:pPr>
            <w:proofErr w:type="gramStart"/>
            <w:r w:rsidRPr="00B75F78">
              <w:rPr>
                <w:rFonts w:ascii="Arial" w:hAnsi="Arial" w:cs="Arial"/>
                <w:b/>
                <w:bCs/>
                <w:sz w:val="24"/>
                <w:szCs w:val="24"/>
              </w:rPr>
              <w:t>c</w:t>
            </w:r>
            <w:proofErr w:type="gramEnd"/>
            <w:r w:rsidRPr="00B75F78">
              <w:rPr>
                <w:rFonts w:ascii="Arial" w:hAnsi="Arial" w:cs="Arial"/>
                <w:b/>
                <w:bCs/>
                <w:sz w:val="24"/>
                <w:szCs w:val="24"/>
              </w:rPr>
              <w:t>.</w:t>
            </w:r>
            <w:r w:rsidRPr="00B75F78">
              <w:rPr>
                <w:rFonts w:ascii="Arial" w:hAnsi="Arial" w:cs="Arial"/>
                <w:sz w:val="24"/>
                <w:szCs w:val="24"/>
              </w:rPr>
              <w:t xml:space="preserve"> Dla orzeczników (Sędziów, Referendarzy sądowych, </w:t>
            </w:r>
            <w:proofErr w:type="gramStart"/>
            <w:r w:rsidRPr="00B75F78">
              <w:rPr>
                <w:rFonts w:ascii="Arial" w:hAnsi="Arial" w:cs="Arial"/>
                <w:sz w:val="24"/>
                <w:szCs w:val="24"/>
              </w:rPr>
              <w:t>Asesorów</w:t>
            </w:r>
            <w:proofErr w:type="gramEnd"/>
            <w:r w:rsidRPr="00B75F78">
              <w:rPr>
                <w:rFonts w:ascii="Arial" w:hAnsi="Arial" w:cs="Arial"/>
                <w:sz w:val="24"/>
                <w:szCs w:val="24"/>
              </w:rPr>
              <w:t xml:space="preserve">, Asystentów </w:t>
            </w:r>
            <w:r w:rsidRPr="00B75F78">
              <w:rPr>
                <w:rFonts w:ascii="Arial" w:hAnsi="Arial" w:cs="Arial"/>
                <w:sz w:val="24"/>
                <w:szCs w:val="24"/>
              </w:rPr>
              <w:lastRenderedPageBreak/>
              <w:t>sędziego) – ok. 1500 osób</w:t>
            </w:r>
          </w:p>
          <w:p w14:paraId="45FAFD74" w14:textId="77777777" w:rsidR="00B75F78" w:rsidRPr="00B75F78" w:rsidRDefault="00B75F78" w:rsidP="00B75F78">
            <w:pPr>
              <w:spacing w:after="160" w:line="360" w:lineRule="auto"/>
              <w:contextualSpacing/>
              <w:rPr>
                <w:rFonts w:ascii="Arial" w:hAnsi="Arial" w:cs="Arial"/>
                <w:sz w:val="24"/>
                <w:szCs w:val="24"/>
              </w:rPr>
            </w:pPr>
            <w:r w:rsidRPr="00B75F78">
              <w:rPr>
                <w:rFonts w:ascii="Arial" w:hAnsi="Arial" w:cs="Arial"/>
                <w:sz w:val="24"/>
                <w:szCs w:val="24"/>
              </w:rPr>
              <w:t xml:space="preserve">Szkolenia dla Sędziów, Referendarzy sądowych, </w:t>
            </w:r>
            <w:proofErr w:type="gramStart"/>
            <w:r w:rsidRPr="00B75F78">
              <w:rPr>
                <w:rFonts w:ascii="Arial" w:hAnsi="Arial" w:cs="Arial"/>
                <w:sz w:val="24"/>
                <w:szCs w:val="24"/>
              </w:rPr>
              <w:t>Asesorów</w:t>
            </w:r>
            <w:proofErr w:type="gramEnd"/>
            <w:r w:rsidRPr="00B75F78">
              <w:rPr>
                <w:rFonts w:ascii="Arial" w:hAnsi="Arial" w:cs="Arial"/>
                <w:sz w:val="24"/>
                <w:szCs w:val="24"/>
              </w:rPr>
              <w:t>, Asystentów sędziego będą skoncentrowane na poszerzeniu kompetencji kadry orzekającej w zakresie identyfikacji potrzeb osób z niepełnosprawnościami, uwrażliwieniu na ich potrzeby oraz sposobie kontaktowania się na sali sądowej.</w:t>
            </w:r>
          </w:p>
          <w:p w14:paraId="48DA36BD" w14:textId="77777777" w:rsidR="00B75F78" w:rsidRPr="00B75F78" w:rsidRDefault="00B75F78" w:rsidP="00B75F78">
            <w:pPr>
              <w:spacing w:after="160" w:line="360" w:lineRule="auto"/>
              <w:contextualSpacing/>
              <w:rPr>
                <w:rFonts w:ascii="Arial" w:hAnsi="Arial" w:cs="Arial"/>
                <w:sz w:val="24"/>
                <w:szCs w:val="24"/>
              </w:rPr>
            </w:pPr>
            <w:proofErr w:type="gramStart"/>
            <w:r w:rsidRPr="00B75F78">
              <w:rPr>
                <w:rFonts w:ascii="Arial" w:hAnsi="Arial" w:cs="Arial"/>
                <w:b/>
                <w:bCs/>
                <w:sz w:val="24"/>
                <w:szCs w:val="24"/>
              </w:rPr>
              <w:t>d</w:t>
            </w:r>
            <w:proofErr w:type="gramEnd"/>
            <w:r w:rsidRPr="00B75F78">
              <w:rPr>
                <w:rFonts w:ascii="Arial" w:hAnsi="Arial" w:cs="Arial"/>
                <w:b/>
                <w:bCs/>
                <w:sz w:val="24"/>
                <w:szCs w:val="24"/>
              </w:rPr>
              <w:t>.</w:t>
            </w:r>
            <w:r w:rsidRPr="00B75F78">
              <w:rPr>
                <w:rFonts w:ascii="Arial" w:hAnsi="Arial" w:cs="Arial"/>
                <w:sz w:val="24"/>
                <w:szCs w:val="24"/>
              </w:rPr>
              <w:t xml:space="preserve"> Dla pracowników administracyjnych sądów – ok. 1000 osób</w:t>
            </w:r>
          </w:p>
          <w:p w14:paraId="7672C434" w14:textId="77777777" w:rsidR="00B75F78" w:rsidRPr="00B75F78" w:rsidRDefault="00B75F78" w:rsidP="00B75F78">
            <w:pPr>
              <w:spacing w:after="160" w:line="360" w:lineRule="auto"/>
              <w:contextualSpacing/>
              <w:rPr>
                <w:rFonts w:ascii="Arial" w:hAnsi="Arial" w:cs="Arial"/>
                <w:sz w:val="24"/>
                <w:szCs w:val="24"/>
              </w:rPr>
            </w:pPr>
            <w:r w:rsidRPr="00B75F78">
              <w:rPr>
                <w:rFonts w:ascii="Arial" w:hAnsi="Arial" w:cs="Arial"/>
                <w:sz w:val="24"/>
                <w:szCs w:val="24"/>
              </w:rPr>
              <w:t>Szkolenia dla pracowników administracyjnych nakierowane będą na problemy kontaktów z osobami z niepełnosprawnościami, przekazywanie informacji, porozumiewania się za pomocą alternatywnych środków.</w:t>
            </w:r>
          </w:p>
          <w:p w14:paraId="2BDDED09" w14:textId="77777777" w:rsidR="00B75F78" w:rsidRPr="00B75F78" w:rsidRDefault="00B75F78" w:rsidP="00B75F78">
            <w:pPr>
              <w:spacing w:after="160" w:line="360" w:lineRule="auto"/>
              <w:contextualSpacing/>
              <w:rPr>
                <w:rFonts w:ascii="Arial" w:hAnsi="Arial" w:cs="Arial"/>
                <w:sz w:val="24"/>
                <w:szCs w:val="24"/>
              </w:rPr>
            </w:pPr>
            <w:proofErr w:type="gramStart"/>
            <w:r w:rsidRPr="00B75F78">
              <w:rPr>
                <w:rFonts w:ascii="Arial" w:hAnsi="Arial" w:cs="Arial"/>
                <w:b/>
                <w:bCs/>
                <w:sz w:val="24"/>
                <w:szCs w:val="24"/>
              </w:rPr>
              <w:t>e</w:t>
            </w:r>
            <w:proofErr w:type="gramEnd"/>
            <w:r w:rsidRPr="00B75F78">
              <w:rPr>
                <w:rFonts w:ascii="Arial" w:hAnsi="Arial" w:cs="Arial"/>
                <w:b/>
                <w:bCs/>
                <w:sz w:val="24"/>
                <w:szCs w:val="24"/>
              </w:rPr>
              <w:t>.</w:t>
            </w:r>
            <w:r w:rsidRPr="00B75F78">
              <w:rPr>
                <w:rFonts w:ascii="Arial" w:hAnsi="Arial" w:cs="Arial"/>
                <w:sz w:val="24"/>
                <w:szCs w:val="24"/>
              </w:rPr>
              <w:t xml:space="preserve"> Dla wybranych pracowników sądów, pełniących funkcję osoby wspierającej osobę z niepełnosprawnością – ok</w:t>
            </w:r>
            <w:r w:rsidRPr="00B75F78">
              <w:rPr>
                <w:rFonts w:ascii="Arial" w:hAnsi="Arial" w:cs="Arial"/>
                <w:i/>
                <w:iCs/>
                <w:sz w:val="24"/>
                <w:szCs w:val="24"/>
              </w:rPr>
              <w:t xml:space="preserve">. </w:t>
            </w:r>
            <w:r w:rsidRPr="00B75F78">
              <w:rPr>
                <w:rFonts w:ascii="Arial" w:hAnsi="Arial" w:cs="Arial"/>
                <w:sz w:val="24"/>
                <w:szCs w:val="24"/>
              </w:rPr>
              <w:t>300 osób</w:t>
            </w:r>
          </w:p>
          <w:p w14:paraId="7BDB4CB4" w14:textId="77777777" w:rsidR="00B75F78" w:rsidRPr="00B75F78" w:rsidRDefault="00B75F78" w:rsidP="00B75F78">
            <w:pPr>
              <w:spacing w:after="160" w:line="360" w:lineRule="auto"/>
              <w:contextualSpacing/>
              <w:rPr>
                <w:rFonts w:ascii="Arial" w:hAnsi="Arial" w:cs="Arial"/>
                <w:sz w:val="24"/>
                <w:szCs w:val="24"/>
              </w:rPr>
            </w:pPr>
            <w:r w:rsidRPr="00B75F78">
              <w:rPr>
                <w:rFonts w:ascii="Arial" w:hAnsi="Arial" w:cs="Arial"/>
                <w:sz w:val="24"/>
                <w:szCs w:val="24"/>
              </w:rPr>
              <w:t>Projekt zakłada przeszkolenie pracowników wytypowanych w sądach macierzystych do roli osoby wspomagającej klienta z niepełnosprawnością. Osoby takie zostaną przeszkolone w szerszym zakresie z zagadnień dotyczących nabycia kompetencji w kontaktach z osobą z niepełnosprawnością, jak również z zagadnień prawnych w zakresie obowiązujących przepisów. Docelowo osoby te mają w pierwszej kolejności być wytypowane w przypadku potrzeby dodatkowej pomocy osobie z niepełnosprawnością w sprawnym załatwieniu sprawy sądowej. Osoby takie będą po przeszkoleniu służyć wsparciem pozostałym pracownikom w przypadku wyjątkowych sytuacji czy konfliktów.</w:t>
            </w:r>
          </w:p>
          <w:p w14:paraId="271A9ED0" w14:textId="77777777" w:rsidR="00B75F78" w:rsidRPr="00B75F78" w:rsidRDefault="00B75F78" w:rsidP="00B75F78">
            <w:pPr>
              <w:spacing w:after="160" w:line="360" w:lineRule="auto"/>
              <w:contextualSpacing/>
              <w:rPr>
                <w:rFonts w:ascii="Arial" w:hAnsi="Arial" w:cs="Arial"/>
                <w:sz w:val="24"/>
                <w:szCs w:val="24"/>
              </w:rPr>
            </w:pPr>
            <w:proofErr w:type="gramStart"/>
            <w:r w:rsidRPr="00B75F78">
              <w:rPr>
                <w:rFonts w:ascii="Arial" w:hAnsi="Arial" w:cs="Arial"/>
                <w:b/>
                <w:bCs/>
                <w:sz w:val="24"/>
                <w:szCs w:val="24"/>
              </w:rPr>
              <w:t>f</w:t>
            </w:r>
            <w:proofErr w:type="gramEnd"/>
            <w:r w:rsidRPr="00B75F78">
              <w:rPr>
                <w:rFonts w:ascii="Arial" w:hAnsi="Arial" w:cs="Arial"/>
                <w:b/>
                <w:bCs/>
                <w:sz w:val="24"/>
                <w:szCs w:val="24"/>
              </w:rPr>
              <w:t>.</w:t>
            </w:r>
            <w:r w:rsidRPr="00B75F78">
              <w:rPr>
                <w:rFonts w:ascii="Arial" w:hAnsi="Arial" w:cs="Arial"/>
                <w:sz w:val="24"/>
                <w:szCs w:val="24"/>
              </w:rPr>
              <w:t xml:space="preserve"> Dla przedstawicieli zawodów prawniczych – Kierowników szkoleń/Dziekanów w Izbach i Radach (11 Izb Notarialnych, 1 Krajowa Rada Notarialna, 24 Izby Adwokackie, 1 Naczelna Rada Adwokacka, 1 Krajowa Izba Radców Prawnych, 19 Okręgowych Izb Radców Prawnych – </w:t>
            </w:r>
            <w:bookmarkEnd w:id="12"/>
            <w:r w:rsidRPr="00B75F78">
              <w:rPr>
                <w:rFonts w:ascii="Arial" w:hAnsi="Arial" w:cs="Arial"/>
                <w:sz w:val="24"/>
                <w:szCs w:val="24"/>
              </w:rPr>
              <w:t>57) – ok. 100 osób</w:t>
            </w:r>
          </w:p>
          <w:p w14:paraId="434B4A22" w14:textId="77777777" w:rsidR="00B75F78" w:rsidRPr="00B75F78" w:rsidRDefault="00B75F78" w:rsidP="00B75F78">
            <w:pPr>
              <w:spacing w:after="160" w:line="360" w:lineRule="auto"/>
              <w:contextualSpacing/>
              <w:rPr>
                <w:rFonts w:ascii="Arial" w:hAnsi="Arial" w:cs="Arial"/>
                <w:sz w:val="24"/>
                <w:szCs w:val="24"/>
              </w:rPr>
            </w:pPr>
            <w:r w:rsidRPr="00B75F78">
              <w:rPr>
                <w:rFonts w:ascii="Arial" w:hAnsi="Arial" w:cs="Arial"/>
                <w:sz w:val="24"/>
                <w:szCs w:val="24"/>
              </w:rPr>
              <w:t xml:space="preserve">Przeszkolenie osób odpowiedzialnych za szkolenia w grupie zawodów prawniczych ma na celu wzmocnienie potrzeby podniesienia kompetencji w tym zakresie wśród wykonujących swoje obowiązki pełnomocników jak również notariuszy. Wszystkie grupy zawodów prawniczych w swoich programach doszkalających powinny uwzględnić idee dostępności do wymiaru sprawiedliwości dla osób z </w:t>
            </w:r>
            <w:proofErr w:type="gramStart"/>
            <w:r w:rsidRPr="00B75F78">
              <w:rPr>
                <w:rFonts w:ascii="Arial" w:hAnsi="Arial" w:cs="Arial"/>
                <w:sz w:val="24"/>
                <w:szCs w:val="24"/>
              </w:rPr>
              <w:t>niepełnosprawnościami jako</w:t>
            </w:r>
            <w:proofErr w:type="gramEnd"/>
            <w:r w:rsidRPr="00B75F78">
              <w:rPr>
                <w:rFonts w:ascii="Arial" w:hAnsi="Arial" w:cs="Arial"/>
                <w:sz w:val="24"/>
                <w:szCs w:val="24"/>
              </w:rPr>
              <w:t xml:space="preserve"> priorytet. Szkolenie </w:t>
            </w:r>
            <w:proofErr w:type="gramStart"/>
            <w:r w:rsidRPr="00B75F78">
              <w:rPr>
                <w:rFonts w:ascii="Arial" w:hAnsi="Arial" w:cs="Arial"/>
                <w:sz w:val="24"/>
                <w:szCs w:val="24"/>
              </w:rPr>
              <w:t>będzie więc</w:t>
            </w:r>
            <w:proofErr w:type="gramEnd"/>
            <w:r w:rsidRPr="00B75F78">
              <w:rPr>
                <w:rFonts w:ascii="Arial" w:hAnsi="Arial" w:cs="Arial"/>
                <w:sz w:val="24"/>
                <w:szCs w:val="24"/>
              </w:rPr>
              <w:t xml:space="preserve"> miało na celu wskazanie, na jakie aspekty samorządy powinny zwrócić szczególną uwagę, jakie problemy mogą pojawić się w kontaktach z klientem z niepełnosprawnością i jak je rozwiązywać. Podniesienie świadomości i przekazanie informacji o zagrożeniach </w:t>
            </w:r>
            <w:r w:rsidRPr="00B75F78">
              <w:rPr>
                <w:rFonts w:ascii="Arial" w:hAnsi="Arial" w:cs="Arial"/>
                <w:sz w:val="24"/>
                <w:szCs w:val="24"/>
              </w:rPr>
              <w:lastRenderedPageBreak/>
              <w:t>powinno zaowocować włączeniem szkoleń z tego zakresu w cykl szkoleń samorządów wszystkich zawodów prawniczych.</w:t>
            </w:r>
          </w:p>
          <w:p w14:paraId="3A67D983" w14:textId="77777777" w:rsidR="00B75F78" w:rsidRPr="00B75F78" w:rsidRDefault="00B75F78" w:rsidP="00B75F78">
            <w:pPr>
              <w:spacing w:after="160" w:line="360" w:lineRule="auto"/>
              <w:contextualSpacing/>
              <w:rPr>
                <w:rFonts w:ascii="Arial" w:hAnsi="Arial" w:cs="Arial"/>
                <w:sz w:val="24"/>
                <w:szCs w:val="24"/>
              </w:rPr>
            </w:pPr>
            <w:r w:rsidRPr="00B75F78">
              <w:rPr>
                <w:rFonts w:ascii="Arial" w:hAnsi="Arial" w:cs="Arial"/>
                <w:sz w:val="24"/>
                <w:szCs w:val="24"/>
              </w:rPr>
              <w:t>W ramach tego zadania zostaną również opracowane i udostępnione szkolenia e-learningowe dla pracowników sądów, którzy nie uczestniczyli w szkoleniach stacjonarnych lub chcą utrwalić nabytą podczas szkoleń stacjonarnych wiedzę. Pozwoli to również zachować trwałość rezultatów projektu. Komponent e-learningowy szkolenia będzie się składał z:</w:t>
            </w:r>
          </w:p>
          <w:p w14:paraId="3D10444A" w14:textId="77777777" w:rsidR="00B75F78" w:rsidRPr="00B75F78" w:rsidRDefault="00B75F78" w:rsidP="00B75F78">
            <w:pPr>
              <w:spacing w:after="160" w:line="360" w:lineRule="auto"/>
              <w:contextualSpacing/>
              <w:rPr>
                <w:rFonts w:ascii="Arial" w:hAnsi="Arial" w:cs="Arial"/>
                <w:sz w:val="24"/>
                <w:szCs w:val="24"/>
              </w:rPr>
            </w:pPr>
            <w:r w:rsidRPr="00B75F78">
              <w:rPr>
                <w:rFonts w:ascii="Arial" w:hAnsi="Arial" w:cs="Arial"/>
                <w:sz w:val="24"/>
                <w:szCs w:val="24"/>
              </w:rPr>
              <w:t>•</w:t>
            </w:r>
            <w:r w:rsidRPr="00B75F78">
              <w:rPr>
                <w:rFonts w:ascii="Arial" w:hAnsi="Arial" w:cs="Arial"/>
                <w:sz w:val="24"/>
                <w:szCs w:val="24"/>
              </w:rPr>
              <w:tab/>
              <w:t>Części ogólnej (zasady, tematyka, podstawy prawne, słownik pojęć) – zagadnienia wspólne dla wszystkich grup docelowych,</w:t>
            </w:r>
          </w:p>
          <w:p w14:paraId="3418B296" w14:textId="77777777" w:rsidR="00B75F78" w:rsidRPr="00B75F78" w:rsidRDefault="00B75F78" w:rsidP="00B75F78">
            <w:pPr>
              <w:spacing w:after="160" w:line="360" w:lineRule="auto"/>
              <w:contextualSpacing/>
              <w:rPr>
                <w:rFonts w:ascii="Arial" w:hAnsi="Arial" w:cs="Arial"/>
                <w:sz w:val="24"/>
                <w:szCs w:val="24"/>
              </w:rPr>
            </w:pPr>
            <w:r w:rsidRPr="00B75F78">
              <w:rPr>
                <w:rFonts w:ascii="Arial" w:hAnsi="Arial" w:cs="Arial"/>
                <w:sz w:val="24"/>
                <w:szCs w:val="24"/>
              </w:rPr>
              <w:t>•</w:t>
            </w:r>
            <w:r w:rsidRPr="00B75F78">
              <w:rPr>
                <w:rFonts w:ascii="Arial" w:hAnsi="Arial" w:cs="Arial"/>
                <w:sz w:val="24"/>
                <w:szCs w:val="24"/>
              </w:rPr>
              <w:tab/>
              <w:t>Części specjalistycznej (materiał dydaktyczny dostosowany do potrzeb i specyfiki pracy danej grupy docelowej, uwzględniający różne poziomy komunikacji z Klientem).</w:t>
            </w:r>
            <w:bookmarkEnd w:id="11"/>
          </w:p>
        </w:tc>
      </w:tr>
      <w:tr w:rsidR="00B75F78" w:rsidRPr="00B75F78" w14:paraId="6DF9F0B9" w14:textId="77777777" w:rsidTr="00B81D3B">
        <w:trPr>
          <w:trHeight w:val="567"/>
        </w:trPr>
        <w:tc>
          <w:tcPr>
            <w:tcW w:w="9356" w:type="dxa"/>
            <w:gridSpan w:val="17"/>
            <w:tcBorders>
              <w:top w:val="single" w:sz="4" w:space="0" w:color="auto"/>
              <w:bottom w:val="single" w:sz="4" w:space="0" w:color="auto"/>
            </w:tcBorders>
            <w:shd w:val="clear" w:color="auto" w:fill="CCC0D9"/>
            <w:vAlign w:val="center"/>
          </w:tcPr>
          <w:p w14:paraId="22B3FCE7"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lastRenderedPageBreak/>
              <w:t>Zasadnicze działania ukierunkowane na wsparcie podejmowanej interwencji publicznej, zrealizowane dotychczas przez wnioskodawcę lub inne instytucje</w:t>
            </w:r>
          </w:p>
        </w:tc>
      </w:tr>
      <w:tr w:rsidR="00B75F78" w:rsidRPr="00B75F78" w14:paraId="5168DAE5" w14:textId="77777777" w:rsidTr="00B81D3B">
        <w:trPr>
          <w:trHeight w:val="567"/>
        </w:trPr>
        <w:tc>
          <w:tcPr>
            <w:tcW w:w="9356" w:type="dxa"/>
            <w:gridSpan w:val="17"/>
            <w:tcBorders>
              <w:top w:val="single" w:sz="4" w:space="0" w:color="auto"/>
              <w:bottom w:val="single" w:sz="4" w:space="0" w:color="auto"/>
            </w:tcBorders>
            <w:shd w:val="clear" w:color="auto" w:fill="auto"/>
            <w:vAlign w:val="center"/>
          </w:tcPr>
          <w:p w14:paraId="2894DC00" w14:textId="77777777" w:rsidR="00B75F78" w:rsidRPr="00B75F78" w:rsidRDefault="00B75F78" w:rsidP="00B75F78">
            <w:pPr>
              <w:spacing w:before="120" w:after="120" w:line="360" w:lineRule="auto"/>
              <w:rPr>
                <w:rFonts w:ascii="Arial" w:hAnsi="Arial" w:cs="Arial"/>
                <w:bCs/>
                <w:sz w:val="24"/>
                <w:szCs w:val="24"/>
              </w:rPr>
            </w:pPr>
            <w:r w:rsidRPr="00B75F78">
              <w:rPr>
                <w:rFonts w:ascii="Arial" w:hAnsi="Arial" w:cs="Arial"/>
                <w:bCs/>
                <w:sz w:val="24"/>
                <w:szCs w:val="24"/>
              </w:rPr>
              <w:t>Wśród zasadniczych działań ukierunkowanych na wsparcie interwencji publicznej, które dotychczas zostały zrealizowane należy wymienić:</w:t>
            </w:r>
          </w:p>
          <w:p w14:paraId="71C8A9F7" w14:textId="77777777" w:rsidR="00B75F78" w:rsidRPr="00B75F78" w:rsidRDefault="00B75F78" w:rsidP="00B75F78">
            <w:pPr>
              <w:numPr>
                <w:ilvl w:val="0"/>
                <w:numId w:val="29"/>
              </w:numPr>
              <w:spacing w:before="120" w:after="120" w:line="360" w:lineRule="auto"/>
              <w:rPr>
                <w:rFonts w:ascii="Arial" w:hAnsi="Arial" w:cs="Arial"/>
                <w:bCs/>
                <w:sz w:val="24"/>
                <w:szCs w:val="24"/>
              </w:rPr>
            </w:pPr>
            <w:r w:rsidRPr="00B75F78">
              <w:rPr>
                <w:rFonts w:ascii="Arial" w:hAnsi="Arial" w:cs="Arial"/>
                <w:bCs/>
                <w:sz w:val="24"/>
                <w:szCs w:val="24"/>
              </w:rPr>
              <w:t xml:space="preserve">Realizacja założeń Programu rządowego </w:t>
            </w:r>
            <w:r w:rsidRPr="00B75F78">
              <w:rPr>
                <w:rFonts w:ascii="Arial" w:hAnsi="Arial" w:cs="Arial"/>
                <w:bCs/>
                <w:i/>
                <w:iCs/>
                <w:sz w:val="24"/>
                <w:szCs w:val="24"/>
              </w:rPr>
              <w:t>Dostępność Plus 2018-2025</w:t>
            </w:r>
            <w:r w:rsidRPr="00B75F78">
              <w:rPr>
                <w:rFonts w:ascii="Arial" w:hAnsi="Arial" w:cs="Arial"/>
                <w:bCs/>
                <w:sz w:val="24"/>
                <w:szCs w:val="24"/>
              </w:rPr>
              <w:t xml:space="preserve">, który w Działaniu 35. </w:t>
            </w:r>
            <w:proofErr w:type="gramStart"/>
            <w:r w:rsidRPr="00B75F78">
              <w:rPr>
                <w:rFonts w:ascii="Arial" w:hAnsi="Arial" w:cs="Arial"/>
                <w:bCs/>
                <w:sz w:val="24"/>
                <w:szCs w:val="24"/>
              </w:rPr>
              <w:t>zakładał</w:t>
            </w:r>
            <w:proofErr w:type="gramEnd"/>
            <w:r w:rsidRPr="00B75F78">
              <w:rPr>
                <w:rFonts w:ascii="Arial" w:hAnsi="Arial" w:cs="Arial"/>
                <w:bCs/>
                <w:sz w:val="24"/>
                <w:szCs w:val="24"/>
              </w:rPr>
              <w:t xml:space="preserve"> opracowanie horyzontalnej ustawy o dostępności, której celem będzie stworzenie podstaw prawnych dla efektywnego wdrażania dostępności architektonicznej, transportowej, informacyjnej i komunikacyjnej w Polsce. Nowa ustawa z dnia 19 lipca 2019 r. o zapewnieniu dostępności osobom ze szczególnymi potrzebami (Dz.U. </w:t>
            </w:r>
            <w:proofErr w:type="gramStart"/>
            <w:r w:rsidRPr="00B75F78">
              <w:rPr>
                <w:rFonts w:ascii="Arial" w:hAnsi="Arial" w:cs="Arial"/>
                <w:bCs/>
                <w:sz w:val="24"/>
                <w:szCs w:val="24"/>
              </w:rPr>
              <w:t>z</w:t>
            </w:r>
            <w:proofErr w:type="gramEnd"/>
            <w:r w:rsidRPr="00B75F78">
              <w:rPr>
                <w:rFonts w:ascii="Arial" w:hAnsi="Arial" w:cs="Arial"/>
                <w:bCs/>
                <w:sz w:val="24"/>
                <w:szCs w:val="24"/>
              </w:rPr>
              <w:t xml:space="preserve"> 2019 r. poz. 1696 ze zm.) jest kluczowym narzędziem wdrażania artykułu 9 Konwencji ONZ o prawach osób niepełnosprawnych w Polsce.</w:t>
            </w:r>
          </w:p>
          <w:p w14:paraId="3A2D4AE3" w14:textId="77777777" w:rsidR="00B75F78" w:rsidRPr="00B75F78" w:rsidRDefault="00B75F78" w:rsidP="00B75F78">
            <w:pPr>
              <w:numPr>
                <w:ilvl w:val="0"/>
                <w:numId w:val="29"/>
              </w:numPr>
              <w:spacing w:before="120" w:after="120" w:line="360" w:lineRule="auto"/>
              <w:rPr>
                <w:rFonts w:ascii="Arial" w:hAnsi="Arial" w:cs="Arial"/>
                <w:bCs/>
                <w:sz w:val="24"/>
                <w:szCs w:val="24"/>
              </w:rPr>
            </w:pPr>
            <w:r w:rsidRPr="00B75F78">
              <w:rPr>
                <w:rFonts w:ascii="Arial" w:hAnsi="Arial" w:cs="Arial"/>
                <w:bCs/>
                <w:sz w:val="24"/>
                <w:szCs w:val="24"/>
              </w:rPr>
              <w:t xml:space="preserve">Opracowanie Rzecznika </w:t>
            </w:r>
            <w:proofErr w:type="gramStart"/>
            <w:r w:rsidRPr="00B75F78">
              <w:rPr>
                <w:rFonts w:ascii="Arial" w:hAnsi="Arial" w:cs="Arial"/>
                <w:bCs/>
                <w:sz w:val="24"/>
                <w:szCs w:val="24"/>
              </w:rPr>
              <w:t>Praw</w:t>
            </w:r>
            <w:proofErr w:type="gramEnd"/>
            <w:r w:rsidRPr="00B75F78">
              <w:rPr>
                <w:rFonts w:ascii="Arial" w:hAnsi="Arial" w:cs="Arial"/>
                <w:bCs/>
                <w:sz w:val="24"/>
                <w:szCs w:val="24"/>
              </w:rPr>
              <w:t xml:space="preserve"> Obywatelskich – „Dostęp osób z niepełnosprawnościami do wymiaru sprawiedliwości, analiza i zalecenia”, Biuletyn Rzecznika Praw Obywatelskich, nr 7, Warszawa 2016,</w:t>
            </w:r>
            <w:r w:rsidRPr="00B75F78">
              <w:rPr>
                <w:rFonts w:ascii="Arial" w:hAnsi="Arial" w:cs="Arial"/>
                <w:bCs/>
                <w:i/>
                <w:iCs/>
                <w:sz w:val="24"/>
                <w:szCs w:val="24"/>
              </w:rPr>
              <w:t xml:space="preserve"> </w:t>
            </w:r>
            <w:r w:rsidRPr="00B75F78">
              <w:rPr>
                <w:rFonts w:ascii="Arial" w:hAnsi="Arial" w:cs="Arial"/>
                <w:bCs/>
                <w:sz w:val="24"/>
                <w:szCs w:val="24"/>
              </w:rPr>
              <w:t>zawierające wytyczne do stosowania w zakresie dostępności do wymiaru sprawiedliwości dla osób z niepełnosprawnościami opracowane na podstawie badania „Dostępność wymiaru sprawiedliwości dla osób z niepełnosprawnościami”</w:t>
            </w:r>
            <w:r w:rsidRPr="00B75F78">
              <w:rPr>
                <w:rFonts w:ascii="Arial" w:hAnsi="Arial" w:cs="Arial"/>
                <w:bCs/>
                <w:i/>
                <w:iCs/>
                <w:sz w:val="24"/>
                <w:szCs w:val="24"/>
              </w:rPr>
              <w:t xml:space="preserve"> </w:t>
            </w:r>
            <w:r w:rsidRPr="00B75F78">
              <w:rPr>
                <w:rFonts w:ascii="Arial" w:hAnsi="Arial" w:cs="Arial"/>
                <w:bCs/>
                <w:sz w:val="24"/>
                <w:szCs w:val="24"/>
              </w:rPr>
              <w:t>prowadzonego na zlecenie rzecznika Praw Obywatelskich.</w:t>
            </w:r>
          </w:p>
          <w:p w14:paraId="769EBE81" w14:textId="77777777" w:rsidR="00B75F78" w:rsidRPr="00B75F78" w:rsidRDefault="00B75F78" w:rsidP="00B75F78">
            <w:pPr>
              <w:numPr>
                <w:ilvl w:val="0"/>
                <w:numId w:val="29"/>
              </w:numPr>
              <w:spacing w:before="120" w:after="120" w:line="360" w:lineRule="auto"/>
              <w:rPr>
                <w:rFonts w:ascii="Arial" w:hAnsi="Arial" w:cs="Arial"/>
                <w:bCs/>
                <w:sz w:val="24"/>
                <w:szCs w:val="24"/>
              </w:rPr>
            </w:pPr>
            <w:r w:rsidRPr="00B75F78">
              <w:rPr>
                <w:rFonts w:ascii="Arial" w:hAnsi="Arial" w:cs="Arial"/>
                <w:bCs/>
                <w:sz w:val="24"/>
                <w:szCs w:val="24"/>
              </w:rPr>
              <w:lastRenderedPageBreak/>
              <w:t xml:space="preserve">Realizacja przez Ministerstwo Sprawiedliwości projektu w ramach PO WER: „Wdrożenie standardów i procedur obsługi interesanta w sądownictwie powszechnym” (okres realizacji 17.07.2018-31.12.2020), </w:t>
            </w:r>
            <w:proofErr w:type="gramStart"/>
            <w:r w:rsidRPr="00B75F78">
              <w:rPr>
                <w:rFonts w:ascii="Arial" w:hAnsi="Arial" w:cs="Arial"/>
                <w:bCs/>
                <w:sz w:val="24"/>
                <w:szCs w:val="24"/>
              </w:rPr>
              <w:t>którego</w:t>
            </w:r>
            <w:proofErr w:type="gramEnd"/>
            <w:r w:rsidRPr="00B75F78">
              <w:rPr>
                <w:rFonts w:ascii="Arial" w:hAnsi="Arial" w:cs="Arial"/>
                <w:bCs/>
                <w:sz w:val="24"/>
                <w:szCs w:val="24"/>
              </w:rPr>
              <w:t xml:space="preserve"> głównym założeniem jest usprawnienie procesów zarządzania i komunikacji w sądownictwie. W ramach tego projektu jeden z przeprowadzonych warsztatów dotyczył obsługi interesanta z niepełnosprawnościami. Szkolenie to przeznaczone zostało dla pracowników obsługujących interesanta w sądach powszechnych, w szczególności pracowników BOI/POI/PI oraz pracowników sekretariatów obsługujących interesantów lub biur podawczych w punkcie informacyjnym sądu, oraz osób je zastępujących, w sumie 1300 osób.</w:t>
            </w:r>
          </w:p>
          <w:p w14:paraId="42FF451D" w14:textId="77777777" w:rsidR="00B75F78" w:rsidRPr="00B75F78" w:rsidRDefault="00B75F78" w:rsidP="00B75F78">
            <w:pPr>
              <w:numPr>
                <w:ilvl w:val="0"/>
                <w:numId w:val="29"/>
              </w:numPr>
              <w:spacing w:before="120" w:after="120" w:line="360" w:lineRule="auto"/>
              <w:rPr>
                <w:rFonts w:ascii="Arial" w:hAnsi="Arial" w:cs="Arial"/>
                <w:bCs/>
                <w:sz w:val="24"/>
                <w:szCs w:val="24"/>
              </w:rPr>
            </w:pPr>
            <w:r w:rsidRPr="00B75F78">
              <w:rPr>
                <w:rFonts w:ascii="Arial" w:hAnsi="Arial" w:cs="Arial"/>
                <w:bCs/>
                <w:sz w:val="24"/>
                <w:szCs w:val="24"/>
              </w:rPr>
              <w:t xml:space="preserve">Harmonogram działalności szkoleniowej </w:t>
            </w:r>
            <w:proofErr w:type="spellStart"/>
            <w:r w:rsidRPr="00B75F78">
              <w:rPr>
                <w:rFonts w:ascii="Arial" w:hAnsi="Arial" w:cs="Arial"/>
                <w:bCs/>
                <w:sz w:val="24"/>
                <w:szCs w:val="24"/>
              </w:rPr>
              <w:t>KSSiP</w:t>
            </w:r>
            <w:proofErr w:type="spellEnd"/>
            <w:r w:rsidRPr="00B75F78">
              <w:rPr>
                <w:rFonts w:ascii="Arial" w:hAnsi="Arial" w:cs="Arial"/>
                <w:bCs/>
                <w:sz w:val="24"/>
                <w:szCs w:val="24"/>
              </w:rPr>
              <w:t xml:space="preserve"> na rok 2020 planuje realizację przez Krajową Szkołę Sądownictwa i Prokuratury szkolenia dla sędziów, </w:t>
            </w:r>
            <w:proofErr w:type="gramStart"/>
            <w:r w:rsidRPr="00B75F78">
              <w:rPr>
                <w:rFonts w:ascii="Arial" w:hAnsi="Arial" w:cs="Arial"/>
                <w:bCs/>
                <w:sz w:val="24"/>
                <w:szCs w:val="24"/>
              </w:rPr>
              <w:t>asesorów</w:t>
            </w:r>
            <w:proofErr w:type="gramEnd"/>
            <w:r w:rsidRPr="00B75F78">
              <w:rPr>
                <w:rFonts w:ascii="Arial" w:hAnsi="Arial" w:cs="Arial"/>
                <w:bCs/>
                <w:sz w:val="24"/>
                <w:szCs w:val="24"/>
              </w:rPr>
              <w:t xml:space="preserve"> sądowych, referendarzy sądowych, asystentów sędziego, urzędników sądów powszechnych, prokuratorów, asesorów prokuratury, asystentów prokuratorów, urzędników powszechnych jednostek organizacyjnych prokuratury, pt. „Komunikacja w toku postępowania karnego i cywilnego z osobami dotkniętymi niepełnosprawnością oraz respektowanie ich praw”, planowane jest przeszkolenie zgodnie z harmonogramem na 2020 rok 280 osób (4 edycje po 70 osób).</w:t>
            </w:r>
          </w:p>
          <w:p w14:paraId="560B32E4" w14:textId="77777777" w:rsidR="00B75F78" w:rsidRPr="00B75F78" w:rsidRDefault="00B75F78" w:rsidP="00B75F78">
            <w:pPr>
              <w:numPr>
                <w:ilvl w:val="0"/>
                <w:numId w:val="29"/>
              </w:numPr>
              <w:spacing w:before="120" w:after="120" w:line="360" w:lineRule="auto"/>
              <w:rPr>
                <w:rFonts w:ascii="Arial" w:hAnsi="Arial" w:cs="Arial"/>
                <w:bCs/>
                <w:sz w:val="24"/>
                <w:szCs w:val="24"/>
              </w:rPr>
            </w:pPr>
            <w:r w:rsidRPr="00B75F78">
              <w:rPr>
                <w:rFonts w:ascii="Arial" w:hAnsi="Arial" w:cs="Arial"/>
                <w:bCs/>
                <w:sz w:val="24"/>
                <w:szCs w:val="24"/>
              </w:rPr>
              <w:t>Poradnik „Standardy dostępności budynków dla osób z niepełnosprawnościami – uwzględniające koncepcję uniwersalnego projektowania” opracowany przez Ministerstwo Inwestycji i Rozwoju, Warszawa 2017.</w:t>
            </w:r>
          </w:p>
          <w:p w14:paraId="06AC2801" w14:textId="77777777" w:rsidR="00B75F78" w:rsidRPr="00B75F78" w:rsidRDefault="00B75F78" w:rsidP="00B75F78">
            <w:pPr>
              <w:numPr>
                <w:ilvl w:val="0"/>
                <w:numId w:val="29"/>
              </w:numPr>
              <w:autoSpaceDE w:val="0"/>
              <w:autoSpaceDN w:val="0"/>
              <w:adjustRightInd w:val="0"/>
              <w:spacing w:before="120" w:after="0" w:line="360" w:lineRule="auto"/>
              <w:rPr>
                <w:rFonts w:ascii="Arial" w:hAnsi="Arial" w:cs="Arial"/>
                <w:bCs/>
                <w:sz w:val="24"/>
                <w:szCs w:val="24"/>
              </w:rPr>
            </w:pPr>
            <w:r w:rsidRPr="00B75F78">
              <w:rPr>
                <w:rFonts w:ascii="Arial" w:hAnsi="Arial" w:cs="Arial"/>
                <w:bCs/>
                <w:sz w:val="24"/>
                <w:szCs w:val="24"/>
              </w:rPr>
              <w:t xml:space="preserve">„Standard dostępności szpitali” oraz „Standard Dostępności POZ” opracowane </w:t>
            </w:r>
            <w:r w:rsidRPr="00B75F78">
              <w:rPr>
                <w:rFonts w:ascii="Arial" w:eastAsia="CIDFont+F1" w:hAnsi="Arial" w:cs="Arial"/>
                <w:sz w:val="24"/>
                <w:szCs w:val="24"/>
                <w:lang w:eastAsia="pl-PL"/>
              </w:rPr>
              <w:t xml:space="preserve">w ramach projektu grantowego pn. „Dostępność Plus dla zdrowia” (nr POWR.05.02.00-00-0044/18) - Działanie 5.2 Działania projakościowe i rozwiązania organizacyjne w systemie ochrony zdrowia ułatwiające dostęp do niedrogich, trwałych oraz </w:t>
            </w:r>
            <w:proofErr w:type="gramStart"/>
            <w:r w:rsidRPr="00B75F78">
              <w:rPr>
                <w:rFonts w:ascii="Arial" w:eastAsia="CIDFont+F1" w:hAnsi="Arial" w:cs="Arial"/>
                <w:sz w:val="24"/>
                <w:szCs w:val="24"/>
                <w:lang w:eastAsia="pl-PL"/>
              </w:rPr>
              <w:t>wysokiej jakości</w:t>
            </w:r>
            <w:proofErr w:type="gramEnd"/>
            <w:r w:rsidRPr="00B75F78">
              <w:rPr>
                <w:rFonts w:ascii="Arial" w:eastAsia="CIDFont+F1" w:hAnsi="Arial" w:cs="Arial"/>
                <w:sz w:val="24"/>
                <w:szCs w:val="24"/>
                <w:lang w:eastAsia="pl-PL"/>
              </w:rPr>
              <w:t xml:space="preserve"> usług zdrowotnych, Oś priorytetowa V Wsparcie dla obszaru zdrowia, Program Operacyjny Wiedza Edukacja Rozwój 2014-2020. Celem projektów jest wdrożenie działań projakościowych związanych z dostosowaniem placówek medycznych do potrzeb osób ze szczególnymi potrzebami (przede wszystkim osób z niepełnosprawnościami i osób starszych).</w:t>
            </w:r>
          </w:p>
          <w:p w14:paraId="1587534E" w14:textId="77777777" w:rsidR="00B75F78" w:rsidRPr="00B75F78" w:rsidRDefault="00B75F78" w:rsidP="00B75F78">
            <w:pPr>
              <w:numPr>
                <w:ilvl w:val="0"/>
                <w:numId w:val="29"/>
              </w:numPr>
              <w:autoSpaceDE w:val="0"/>
              <w:autoSpaceDN w:val="0"/>
              <w:adjustRightInd w:val="0"/>
              <w:spacing w:before="120" w:after="0" w:line="360" w:lineRule="auto"/>
              <w:rPr>
                <w:rFonts w:ascii="Arial" w:hAnsi="Arial" w:cs="Arial"/>
                <w:bCs/>
                <w:sz w:val="24"/>
                <w:szCs w:val="24"/>
              </w:rPr>
            </w:pPr>
            <w:r w:rsidRPr="00B75F78">
              <w:rPr>
                <w:rFonts w:ascii="Arial" w:hAnsi="Arial" w:cs="Arial"/>
                <w:bCs/>
                <w:sz w:val="24"/>
                <w:szCs w:val="24"/>
              </w:rPr>
              <w:lastRenderedPageBreak/>
              <w:t xml:space="preserve">„Model Dostępnej Szkoły” opracowywany w ramach projektu „Dostępna szkoła” </w:t>
            </w:r>
            <w:r w:rsidRPr="00B75F78">
              <w:rPr>
                <w:rFonts w:ascii="Arial" w:hAnsi="Arial" w:cs="Arial"/>
                <w:sz w:val="24"/>
                <w:szCs w:val="24"/>
                <w:shd w:val="clear" w:color="auto" w:fill="FFFFFF"/>
              </w:rPr>
              <w:t>realizowanego przez Fundację Fundusz Współpracy i Fundację Instytut Rozwoju Regionalnego, w ramach Programu Operacyjnego Wiedza Edukacja Rozwój 2014 – 2020, jako pilotaż działania „Szkoła bez barier” – program Dostępność Plus.</w:t>
            </w:r>
          </w:p>
          <w:p w14:paraId="03939FDF" w14:textId="77777777" w:rsidR="00B75F78" w:rsidRPr="00B75F78" w:rsidRDefault="00B75F78" w:rsidP="00B75F78">
            <w:pPr>
              <w:numPr>
                <w:ilvl w:val="0"/>
                <w:numId w:val="29"/>
              </w:numPr>
              <w:autoSpaceDE w:val="0"/>
              <w:autoSpaceDN w:val="0"/>
              <w:adjustRightInd w:val="0"/>
              <w:spacing w:before="120" w:after="0" w:line="360" w:lineRule="auto"/>
              <w:rPr>
                <w:rFonts w:ascii="Arial" w:hAnsi="Arial" w:cs="Arial"/>
                <w:bCs/>
                <w:sz w:val="24"/>
                <w:szCs w:val="24"/>
              </w:rPr>
            </w:pPr>
            <w:r w:rsidRPr="00B75F78">
              <w:rPr>
                <w:rFonts w:ascii="Arial" w:hAnsi="Arial" w:cs="Arial"/>
                <w:bCs/>
                <w:sz w:val="24"/>
                <w:szCs w:val="24"/>
              </w:rPr>
              <w:t>„Model wsparcia uczelni w celu zwiększenia ich dostępności do potrzeb osób z niepełnosprawnościami” projekt Narodowego Centrum Badań i Rozwoju.</w:t>
            </w:r>
          </w:p>
        </w:tc>
      </w:tr>
      <w:tr w:rsidR="00B75F78" w:rsidRPr="00B75F78" w14:paraId="74B57AA3" w14:textId="77777777" w:rsidTr="00B81D3B">
        <w:trPr>
          <w:trHeight w:val="567"/>
        </w:trPr>
        <w:tc>
          <w:tcPr>
            <w:tcW w:w="9356" w:type="dxa"/>
            <w:gridSpan w:val="17"/>
            <w:tcBorders>
              <w:top w:val="single" w:sz="4" w:space="0" w:color="auto"/>
              <w:bottom w:val="single" w:sz="4" w:space="0" w:color="auto"/>
            </w:tcBorders>
            <w:shd w:val="clear" w:color="auto" w:fill="CCC0D9"/>
            <w:vAlign w:val="center"/>
          </w:tcPr>
          <w:p w14:paraId="3EA25577"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lastRenderedPageBreak/>
              <w:t>Uwarunkowania skutecznej realizacji założeń interwencji publicznej (interesariusze, stan prawny, itd.)</w:t>
            </w:r>
          </w:p>
        </w:tc>
      </w:tr>
      <w:tr w:rsidR="00B75F78" w:rsidRPr="00B75F78" w14:paraId="49833851" w14:textId="77777777" w:rsidTr="00B81D3B">
        <w:trPr>
          <w:trHeight w:val="567"/>
        </w:trPr>
        <w:tc>
          <w:tcPr>
            <w:tcW w:w="9356" w:type="dxa"/>
            <w:gridSpan w:val="17"/>
            <w:tcBorders>
              <w:top w:val="single" w:sz="4" w:space="0" w:color="auto"/>
              <w:bottom w:val="single" w:sz="4" w:space="0" w:color="auto"/>
            </w:tcBorders>
            <w:shd w:val="clear" w:color="auto" w:fill="auto"/>
            <w:vAlign w:val="center"/>
          </w:tcPr>
          <w:p w14:paraId="712EB932" w14:textId="77777777" w:rsidR="00B75F78" w:rsidRPr="00B75F78" w:rsidRDefault="00B75F78" w:rsidP="00B75F78">
            <w:pPr>
              <w:spacing w:before="120" w:after="120" w:line="360" w:lineRule="auto"/>
              <w:ind w:right="142"/>
              <w:rPr>
                <w:rFonts w:ascii="Arial" w:hAnsi="Arial" w:cs="Arial"/>
                <w:color w:val="000000"/>
                <w:sz w:val="24"/>
                <w:szCs w:val="24"/>
                <w:lang w:eastAsia="pl-PL"/>
              </w:rPr>
            </w:pPr>
            <w:bookmarkStart w:id="13" w:name="_Hlk41152901"/>
            <w:r w:rsidRPr="00B75F78">
              <w:rPr>
                <w:rFonts w:ascii="Arial" w:hAnsi="Arial" w:cs="Arial"/>
                <w:sz w:val="24"/>
                <w:szCs w:val="24"/>
              </w:rPr>
              <w:t xml:space="preserve">Skuteczna realizacja planowanych działań wymaga intensywnego zaangażowania wszystkich interesariuszy, tj. sądów powszechnych w zakresie dokonania diagnozy potrzeb modernizacyjnych uwzględniających potrzeby osób z niepełnosprawnościami z użyciem Modelu Dostępnego Sądu oraz Sędziów, </w:t>
            </w:r>
            <w:proofErr w:type="gramStart"/>
            <w:r w:rsidRPr="00B75F78">
              <w:rPr>
                <w:rFonts w:ascii="Arial" w:hAnsi="Arial" w:cs="Arial"/>
                <w:sz w:val="24"/>
                <w:szCs w:val="24"/>
              </w:rPr>
              <w:t>Asesorów</w:t>
            </w:r>
            <w:proofErr w:type="gramEnd"/>
            <w:r w:rsidRPr="00B75F78">
              <w:rPr>
                <w:rFonts w:ascii="Arial" w:hAnsi="Arial" w:cs="Arial"/>
                <w:sz w:val="24"/>
                <w:szCs w:val="24"/>
              </w:rPr>
              <w:t xml:space="preserve"> sądowych, Referendarzy, Asystentów sędziów, Koordynatorów dostępności i urzędników w zakresie zaangażowania w udział w szkoleniach. Wsparciem skutecznej realizacji założeń szkoleniowych są zapisy ustawowe. Kadra wymiaru sprawiedliwości jest ustawowo zobowiązana do podnoszenia kwalifikacji zawodowych. Art. 82a § 1 ustawy z dnia 27 lipca 2001 r. Prawo o ustroju sądów powszechnych (tj. Dz. U. 2019, </w:t>
            </w:r>
            <w:proofErr w:type="gramStart"/>
            <w:r w:rsidRPr="00B75F78">
              <w:rPr>
                <w:rFonts w:ascii="Arial" w:hAnsi="Arial" w:cs="Arial"/>
                <w:sz w:val="24"/>
                <w:szCs w:val="24"/>
              </w:rPr>
              <w:t>poz</w:t>
            </w:r>
            <w:proofErr w:type="gramEnd"/>
            <w:r w:rsidRPr="00B75F78">
              <w:rPr>
                <w:rFonts w:ascii="Arial" w:hAnsi="Arial" w:cs="Arial"/>
                <w:sz w:val="24"/>
                <w:szCs w:val="24"/>
              </w:rPr>
              <w:t>. 52) nakłada na sędziów obowiązek stałego podnoszenia kwalifikacji zawodowych. Natomiast § 3 ww. ustawy wskazuje, iż sędzia jest obowiązany uczestniczyć, w miarę możliwości corocznie, w szkoleniu i doskonaleniu zawodowym organizowanym przez Krajową Szkołę Sądownictwa i Prokuratury lub innych formach doskonalenia zawodowego, w celu uzupełnienia specjalistycznej wiedzy i umiejętności zawodowych.</w:t>
            </w:r>
          </w:p>
          <w:p w14:paraId="2883A847" w14:textId="77777777" w:rsidR="00B75F78" w:rsidRPr="00B75F78" w:rsidRDefault="00B75F78" w:rsidP="00B75F78">
            <w:pPr>
              <w:spacing w:before="120" w:after="120" w:line="360" w:lineRule="auto"/>
              <w:ind w:right="142"/>
              <w:rPr>
                <w:rFonts w:ascii="Arial" w:hAnsi="Arial" w:cs="Arial"/>
                <w:color w:val="000000"/>
                <w:sz w:val="24"/>
                <w:szCs w:val="24"/>
              </w:rPr>
            </w:pPr>
            <w:r w:rsidRPr="00B75F78">
              <w:rPr>
                <w:rFonts w:ascii="Arial" w:hAnsi="Arial" w:cs="Arial"/>
                <w:color w:val="000000"/>
                <w:sz w:val="24"/>
                <w:szCs w:val="24"/>
              </w:rPr>
              <w:t xml:space="preserve">Niezbędnym warunkiem zwiększenia możliwości osób z niepełnosprawnościami w sferze dostępności do wymiaru sprawiedliwości jest również zaangażowanie zawodów prawniczych w ten proces. Służyć temu ma przeszkolenie osób odpowiedzialnych za treści programowe i realizację obowiązków w zakresie podnoszenia kwalifikacji tej grupy zawodowej w obszarze potrzeb i </w:t>
            </w:r>
            <w:proofErr w:type="gramStart"/>
            <w:r w:rsidRPr="00B75F78">
              <w:rPr>
                <w:rFonts w:ascii="Arial" w:hAnsi="Arial" w:cs="Arial"/>
                <w:color w:val="000000"/>
                <w:sz w:val="24"/>
                <w:szCs w:val="24"/>
              </w:rPr>
              <w:t>praw</w:t>
            </w:r>
            <w:proofErr w:type="gramEnd"/>
            <w:r w:rsidRPr="00B75F78">
              <w:rPr>
                <w:rFonts w:ascii="Arial" w:hAnsi="Arial" w:cs="Arial"/>
                <w:color w:val="000000"/>
                <w:sz w:val="24"/>
                <w:szCs w:val="24"/>
              </w:rPr>
              <w:t xml:space="preserve"> osób z niepełnosprawnościami. Podstawa prawna wynika z § 2 Uchwały nr 49/2015 Naczelnej Rady Adwokackiej z dnia 13 listopada 2015 r. „O doskonaleniu </w:t>
            </w:r>
            <w:r w:rsidRPr="00B75F78">
              <w:rPr>
                <w:rFonts w:ascii="Arial" w:hAnsi="Arial" w:cs="Arial"/>
                <w:color w:val="000000"/>
                <w:sz w:val="24"/>
                <w:szCs w:val="24"/>
              </w:rPr>
              <w:lastRenderedPageBreak/>
              <w:t xml:space="preserve">zawodowym adwokatów” oraz </w:t>
            </w:r>
            <w:r w:rsidRPr="00B75F78">
              <w:rPr>
                <w:rFonts w:ascii="Arial" w:eastAsia="Times New Roman" w:hAnsi="Arial" w:cs="Arial"/>
                <w:color w:val="232323"/>
                <w:sz w:val="24"/>
                <w:szCs w:val="24"/>
                <w:lang w:eastAsia="pl-PL"/>
              </w:rPr>
              <w:t>Uchwała Nr 295/X/2018 Prezydium Krajowej Izby Radców Prawnych z dnia 12 lipca 2018 r. w sprawie ogłoszenia tekstu jednolitego uchwały w sprawie Regulaminu zasad wypełniania obowiązku doskonalenia zawodowego przez radców prawnych i zadań organów samorządu służących zapewnieniu przestrzegania tego obowiązku”</w:t>
            </w:r>
            <w:r w:rsidRPr="00B75F78">
              <w:rPr>
                <w:rFonts w:ascii="Arial" w:hAnsi="Arial" w:cs="Arial"/>
                <w:sz w:val="24"/>
                <w:szCs w:val="24"/>
              </w:rPr>
              <w:t>.</w:t>
            </w:r>
          </w:p>
          <w:p w14:paraId="5DDB8209" w14:textId="77777777" w:rsidR="00B75F78" w:rsidRPr="00B75F78" w:rsidRDefault="00B75F78" w:rsidP="00B75F78">
            <w:pPr>
              <w:spacing w:before="120" w:after="120" w:line="360" w:lineRule="auto"/>
              <w:ind w:right="142"/>
              <w:rPr>
                <w:rFonts w:ascii="Arial" w:hAnsi="Arial" w:cs="Arial"/>
                <w:bCs/>
                <w:sz w:val="24"/>
                <w:szCs w:val="24"/>
              </w:rPr>
            </w:pPr>
            <w:r w:rsidRPr="00B75F78">
              <w:rPr>
                <w:rFonts w:ascii="Arial" w:hAnsi="Arial" w:cs="Arial"/>
                <w:sz w:val="24"/>
                <w:szCs w:val="24"/>
              </w:rPr>
              <w:t xml:space="preserve">Ponadto warunkiem skutecznej realizacji projektu jest zaangażowanie odpowiedniej grupy ekspertów w dziedzinie </w:t>
            </w:r>
            <w:r w:rsidRPr="00B75F78">
              <w:rPr>
                <w:rFonts w:ascii="Arial" w:hAnsi="Arial" w:cs="Arial"/>
                <w:bCs/>
                <w:sz w:val="24"/>
                <w:szCs w:val="24"/>
              </w:rPr>
              <w:t xml:space="preserve">dostępności architektonicznej, informacyjno-komunikacyjnej, cyfrowej i znajomości przepisów prawa procesowego i materialnego oraz ekspertów w zakresie potrzeb osób z niepełnosprawnościami. </w:t>
            </w:r>
            <w:r w:rsidRPr="00B75F78">
              <w:rPr>
                <w:rFonts w:ascii="Arial" w:hAnsi="Arial" w:cs="Arial"/>
                <w:sz w:val="24"/>
                <w:szCs w:val="24"/>
              </w:rPr>
              <w:t>Projekt przewiduje zaangażowanie ośmiu kluczowych ekspertów, którzy posiadają minimum pięcioletnie doświadczenie w pracy z osobami z różnymi rodzajami niepełnosprawności, doświadczenie w przeprowadzaniu audytów dostępności w poszczególnych dziedzinach oraz doświadczenie w prowadzeniu szkoleń. Kompetencje te powinny zostać udokumentowane stosownymi certyfikatami lub referencjami.</w:t>
            </w:r>
          </w:p>
          <w:bookmarkEnd w:id="13"/>
          <w:p w14:paraId="49186FBB" w14:textId="77777777" w:rsidR="00B75F78" w:rsidRPr="00B75F78" w:rsidRDefault="00B75F78" w:rsidP="00B75F78">
            <w:pPr>
              <w:spacing w:before="120" w:after="120" w:line="360" w:lineRule="auto"/>
              <w:ind w:right="142"/>
              <w:rPr>
                <w:rFonts w:ascii="Arial" w:hAnsi="Arial" w:cs="Arial"/>
                <w:sz w:val="24"/>
                <w:szCs w:val="24"/>
              </w:rPr>
            </w:pPr>
            <w:r w:rsidRPr="00B75F78">
              <w:rPr>
                <w:rFonts w:ascii="Arial" w:hAnsi="Arial" w:cs="Arial"/>
                <w:sz w:val="24"/>
                <w:szCs w:val="24"/>
              </w:rPr>
              <w:t>Obecny stan prawny pozwala na rozpoczęcie prac przygotowawczych do realizacji projektu, a Ministerstwo Sprawiedliwości, jako instytucja realizująca projekt, dysponuje potencjałem kadrowym niezbędnym do skutecznej realizacji założeń interwencji ubocznej.</w:t>
            </w:r>
          </w:p>
        </w:tc>
      </w:tr>
      <w:tr w:rsidR="00B75F78" w:rsidRPr="00B75F78" w14:paraId="0A68343F" w14:textId="77777777" w:rsidTr="00B81D3B">
        <w:trPr>
          <w:trHeight w:val="567"/>
        </w:trPr>
        <w:tc>
          <w:tcPr>
            <w:tcW w:w="9356" w:type="dxa"/>
            <w:gridSpan w:val="17"/>
            <w:tcBorders>
              <w:top w:val="single" w:sz="4" w:space="0" w:color="auto"/>
              <w:bottom w:val="single" w:sz="4" w:space="0" w:color="auto"/>
            </w:tcBorders>
            <w:shd w:val="clear" w:color="auto" w:fill="CCC0D9"/>
            <w:vAlign w:val="center"/>
          </w:tcPr>
          <w:p w14:paraId="4A145E08"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lastRenderedPageBreak/>
              <w:t>Dalsze etapy planowane do wdrożenia poza projektem, o ile zostaną spełnione warunki umożliwiające ich skuteczne wykonanie</w:t>
            </w:r>
          </w:p>
        </w:tc>
      </w:tr>
      <w:tr w:rsidR="00B75F78" w:rsidRPr="00B75F78" w14:paraId="7B3EB562" w14:textId="77777777" w:rsidTr="00B81D3B">
        <w:trPr>
          <w:trHeight w:val="567"/>
        </w:trPr>
        <w:tc>
          <w:tcPr>
            <w:tcW w:w="9356" w:type="dxa"/>
            <w:gridSpan w:val="17"/>
            <w:tcBorders>
              <w:top w:val="single" w:sz="4" w:space="0" w:color="auto"/>
              <w:bottom w:val="single" w:sz="12" w:space="0" w:color="auto"/>
            </w:tcBorders>
            <w:shd w:val="clear" w:color="auto" w:fill="auto"/>
            <w:vAlign w:val="center"/>
          </w:tcPr>
          <w:p w14:paraId="5AA91879" w14:textId="77777777" w:rsidR="00B75F78" w:rsidRPr="00B75F78" w:rsidRDefault="00B75F78" w:rsidP="00B75F78">
            <w:pPr>
              <w:spacing w:before="120" w:after="120" w:line="360" w:lineRule="auto"/>
              <w:rPr>
                <w:rFonts w:ascii="Arial" w:hAnsi="Arial" w:cs="Arial"/>
                <w:sz w:val="24"/>
                <w:szCs w:val="24"/>
              </w:rPr>
            </w:pPr>
            <w:r w:rsidRPr="00B75F78">
              <w:rPr>
                <w:rFonts w:ascii="Arial" w:hAnsi="Arial" w:cs="Arial"/>
                <w:sz w:val="24"/>
                <w:szCs w:val="24"/>
              </w:rPr>
              <w:t>Opracowany na potrzeby projektu Model Dostępnego Sądu będzie pomocny do opracowywania założeń bieżących modernizacji infrastruktury sądowniczej oraz będzie wykorzystywany przy planowaniu przyszłych założeń związanych z programami szkoleniowymi dla pracowników wymiaru sprawiedliwości oraz w codziennej pracy Koordynatorów dostępności.</w:t>
            </w:r>
          </w:p>
          <w:p w14:paraId="241CADA7" w14:textId="77777777" w:rsidR="00B75F78" w:rsidRPr="00B75F78" w:rsidRDefault="00B75F78" w:rsidP="00B75F78">
            <w:pPr>
              <w:spacing w:before="120" w:after="120" w:line="360" w:lineRule="auto"/>
              <w:rPr>
                <w:rFonts w:ascii="Arial" w:hAnsi="Arial" w:cs="Arial"/>
                <w:bCs/>
                <w:sz w:val="24"/>
                <w:szCs w:val="24"/>
              </w:rPr>
            </w:pPr>
            <w:r w:rsidRPr="00B75F78">
              <w:rPr>
                <w:rFonts w:ascii="Arial" w:hAnsi="Arial" w:cs="Arial"/>
                <w:sz w:val="24"/>
                <w:szCs w:val="24"/>
              </w:rPr>
              <w:t>Ponadto skutki wdrożenia projektu i wprowadzone usprawnienia dla osób z niepełnosprawnościami przyczynią się do realizacji przyszłej Strategii na rzecz Osób z Niepełnosprawnościami 2020-2030.</w:t>
            </w:r>
          </w:p>
        </w:tc>
      </w:tr>
      <w:tr w:rsidR="00B75F78" w:rsidRPr="00B75F78" w14:paraId="29E66E09" w14:textId="77777777" w:rsidTr="00B81D3B">
        <w:trPr>
          <w:trHeight w:val="396"/>
        </w:trPr>
        <w:tc>
          <w:tcPr>
            <w:tcW w:w="9356" w:type="dxa"/>
            <w:gridSpan w:val="17"/>
            <w:tcBorders>
              <w:top w:val="single" w:sz="12" w:space="0" w:color="auto"/>
              <w:bottom w:val="single" w:sz="12" w:space="0" w:color="auto"/>
            </w:tcBorders>
            <w:shd w:val="clear" w:color="auto" w:fill="CCC0D9"/>
            <w:vAlign w:val="center"/>
          </w:tcPr>
          <w:p w14:paraId="2FC16903" w14:textId="77777777" w:rsidR="00B75F78" w:rsidRPr="00B75F78" w:rsidRDefault="00B75F78" w:rsidP="00B75F78">
            <w:pPr>
              <w:spacing w:before="120" w:after="120" w:line="360" w:lineRule="auto"/>
              <w:rPr>
                <w:rFonts w:ascii="Arial" w:hAnsi="Arial" w:cs="Arial"/>
                <w:b/>
              </w:rPr>
            </w:pPr>
            <w:r w:rsidRPr="00B75F78">
              <w:rPr>
                <w:rFonts w:ascii="Arial" w:hAnsi="Arial" w:cs="Arial"/>
                <w:b/>
              </w:rPr>
              <w:t xml:space="preserve">ZAKŁADANE EFEKTY PROJEKTU WYRAŻONE WSKAŹNIKAMI (W PODZIALE NA PŁEĆ </w:t>
            </w:r>
            <w:r w:rsidRPr="00B75F78">
              <w:rPr>
                <w:rFonts w:ascii="Arial" w:hAnsi="Arial" w:cs="Arial"/>
                <w:b/>
              </w:rPr>
              <w:lastRenderedPageBreak/>
              <w:t>I OGÓŁEM)</w:t>
            </w:r>
          </w:p>
        </w:tc>
      </w:tr>
      <w:tr w:rsidR="00B75F78" w:rsidRPr="00B75F78" w14:paraId="1E25346E" w14:textId="77777777" w:rsidTr="00B81D3B">
        <w:trPr>
          <w:trHeight w:val="455"/>
        </w:trPr>
        <w:tc>
          <w:tcPr>
            <w:tcW w:w="9356" w:type="dxa"/>
            <w:gridSpan w:val="17"/>
            <w:tcBorders>
              <w:top w:val="single" w:sz="12" w:space="0" w:color="auto"/>
              <w:bottom w:val="single" w:sz="12" w:space="0" w:color="auto"/>
            </w:tcBorders>
            <w:shd w:val="clear" w:color="auto" w:fill="CCC0D9"/>
            <w:vAlign w:val="center"/>
          </w:tcPr>
          <w:p w14:paraId="08180FDD" w14:textId="77777777" w:rsidR="00B75F78" w:rsidRPr="00B75F78" w:rsidRDefault="00B75F78" w:rsidP="00B75F78">
            <w:pPr>
              <w:spacing w:before="120" w:after="120" w:line="360" w:lineRule="auto"/>
              <w:rPr>
                <w:rFonts w:ascii="Arial" w:hAnsi="Arial" w:cs="Arial"/>
                <w:b/>
              </w:rPr>
            </w:pPr>
            <w:r w:rsidRPr="00B75F78">
              <w:rPr>
                <w:rFonts w:ascii="Arial" w:hAnsi="Arial" w:cs="Arial"/>
                <w:b/>
              </w:rPr>
              <w:lastRenderedPageBreak/>
              <w:t>WSKAŹNIKI REZULTATU</w:t>
            </w:r>
          </w:p>
        </w:tc>
      </w:tr>
      <w:tr w:rsidR="00B75F78" w:rsidRPr="00B75F78" w14:paraId="0C5C9F36" w14:textId="77777777" w:rsidTr="00B81D3B">
        <w:trPr>
          <w:trHeight w:val="567"/>
        </w:trPr>
        <w:tc>
          <w:tcPr>
            <w:tcW w:w="4244" w:type="dxa"/>
            <w:gridSpan w:val="8"/>
            <w:vMerge w:val="restart"/>
            <w:tcBorders>
              <w:top w:val="single" w:sz="12" w:space="0" w:color="auto"/>
              <w:right w:val="single" w:sz="6" w:space="0" w:color="auto"/>
            </w:tcBorders>
            <w:shd w:val="clear" w:color="auto" w:fill="CCC0D9"/>
            <w:vAlign w:val="center"/>
          </w:tcPr>
          <w:p w14:paraId="14591AB5"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Nazwa wskaźnika</w:t>
            </w:r>
          </w:p>
        </w:tc>
        <w:tc>
          <w:tcPr>
            <w:tcW w:w="5112" w:type="dxa"/>
            <w:gridSpan w:val="9"/>
            <w:tcBorders>
              <w:top w:val="single" w:sz="12" w:space="0" w:color="auto"/>
              <w:left w:val="single" w:sz="6" w:space="0" w:color="auto"/>
              <w:bottom w:val="single" w:sz="6" w:space="0" w:color="auto"/>
            </w:tcBorders>
            <w:shd w:val="clear" w:color="auto" w:fill="CCC0D9"/>
            <w:vAlign w:val="center"/>
          </w:tcPr>
          <w:p w14:paraId="396254D1"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Wartość docelowa</w:t>
            </w:r>
          </w:p>
        </w:tc>
      </w:tr>
      <w:tr w:rsidR="00B75F78" w:rsidRPr="00B75F78" w14:paraId="1B2EDB23" w14:textId="77777777" w:rsidTr="00B81D3B">
        <w:trPr>
          <w:trHeight w:val="567"/>
        </w:trPr>
        <w:tc>
          <w:tcPr>
            <w:tcW w:w="4244" w:type="dxa"/>
            <w:gridSpan w:val="8"/>
            <w:vMerge/>
            <w:tcBorders>
              <w:right w:val="single" w:sz="6" w:space="0" w:color="auto"/>
            </w:tcBorders>
            <w:shd w:val="clear" w:color="auto" w:fill="CCC0D9"/>
            <w:vAlign w:val="center"/>
          </w:tcPr>
          <w:p w14:paraId="58548074" w14:textId="77777777" w:rsidR="00B75F78" w:rsidRPr="00B75F78" w:rsidRDefault="00B75F78" w:rsidP="00B75F78">
            <w:pPr>
              <w:spacing w:before="120" w:after="120"/>
              <w:rPr>
                <w:rFonts w:ascii="Arial" w:hAnsi="Arial" w:cs="Arial"/>
                <w:sz w:val="24"/>
                <w:szCs w:val="24"/>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CCC0D9"/>
            <w:vAlign w:val="center"/>
          </w:tcPr>
          <w:p w14:paraId="3CD0D7EE"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W podziale na:</w:t>
            </w:r>
            <w:r w:rsidRPr="00B75F78">
              <w:rPr>
                <w:rFonts w:ascii="Arial" w:hAnsi="Arial" w:cs="Arial"/>
                <w:sz w:val="24"/>
                <w:szCs w:val="24"/>
                <w:vertAlign w:val="superscript"/>
              </w:rPr>
              <w:footnoteReference w:id="7"/>
            </w:r>
          </w:p>
        </w:tc>
        <w:tc>
          <w:tcPr>
            <w:tcW w:w="1994" w:type="dxa"/>
            <w:gridSpan w:val="2"/>
            <w:vMerge w:val="restart"/>
            <w:tcBorders>
              <w:top w:val="single" w:sz="6" w:space="0" w:color="auto"/>
              <w:left w:val="single" w:sz="6" w:space="0" w:color="auto"/>
            </w:tcBorders>
            <w:shd w:val="clear" w:color="auto" w:fill="CCC0D9"/>
            <w:vAlign w:val="center"/>
          </w:tcPr>
          <w:p w14:paraId="32F88D9E"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Ogółem w projekcie</w:t>
            </w:r>
          </w:p>
          <w:p w14:paraId="045DBD2B" w14:textId="77777777" w:rsidR="00B75F78" w:rsidRPr="00B75F78" w:rsidRDefault="00B75F78" w:rsidP="00B75F78">
            <w:pPr>
              <w:spacing w:before="120" w:after="120"/>
              <w:rPr>
                <w:rFonts w:ascii="Arial" w:hAnsi="Arial" w:cs="Arial"/>
                <w:sz w:val="24"/>
                <w:szCs w:val="24"/>
              </w:rPr>
            </w:pPr>
          </w:p>
        </w:tc>
      </w:tr>
      <w:tr w:rsidR="00B75F78" w:rsidRPr="00B75F78" w14:paraId="78D3E1A1" w14:textId="77777777" w:rsidTr="00B81D3B">
        <w:trPr>
          <w:trHeight w:val="567"/>
        </w:trPr>
        <w:tc>
          <w:tcPr>
            <w:tcW w:w="4244" w:type="dxa"/>
            <w:gridSpan w:val="8"/>
            <w:vMerge/>
            <w:tcBorders>
              <w:bottom w:val="single" w:sz="6" w:space="0" w:color="auto"/>
              <w:right w:val="single" w:sz="6" w:space="0" w:color="auto"/>
            </w:tcBorders>
            <w:shd w:val="clear" w:color="auto" w:fill="CCC0D9"/>
            <w:vAlign w:val="center"/>
          </w:tcPr>
          <w:p w14:paraId="6F999040" w14:textId="77777777" w:rsidR="00B75F78" w:rsidRPr="00B75F78" w:rsidRDefault="00B75F78" w:rsidP="00B75F78">
            <w:pPr>
              <w:spacing w:before="120" w:after="120"/>
              <w:rPr>
                <w:rFonts w:ascii="Arial" w:hAnsi="Arial" w:cs="Arial"/>
                <w:sz w:val="24"/>
                <w:szCs w:val="24"/>
              </w:rPr>
            </w:pPr>
          </w:p>
        </w:tc>
        <w:tc>
          <w:tcPr>
            <w:tcW w:w="1558" w:type="dxa"/>
            <w:gridSpan w:val="4"/>
            <w:tcBorders>
              <w:top w:val="single" w:sz="6" w:space="0" w:color="auto"/>
              <w:left w:val="single" w:sz="6" w:space="0" w:color="auto"/>
              <w:bottom w:val="single" w:sz="6" w:space="0" w:color="auto"/>
              <w:right w:val="single" w:sz="6" w:space="0" w:color="auto"/>
            </w:tcBorders>
            <w:shd w:val="clear" w:color="auto" w:fill="CCC0D9"/>
            <w:vAlign w:val="center"/>
          </w:tcPr>
          <w:p w14:paraId="713FCC7A"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37944D72"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Mężczyzn</w:t>
            </w:r>
          </w:p>
        </w:tc>
        <w:tc>
          <w:tcPr>
            <w:tcW w:w="1994" w:type="dxa"/>
            <w:gridSpan w:val="2"/>
            <w:vMerge/>
            <w:tcBorders>
              <w:left w:val="single" w:sz="6" w:space="0" w:color="auto"/>
              <w:bottom w:val="single" w:sz="6" w:space="0" w:color="auto"/>
            </w:tcBorders>
            <w:shd w:val="clear" w:color="auto" w:fill="CCC0D9"/>
            <w:vAlign w:val="center"/>
          </w:tcPr>
          <w:p w14:paraId="4F6BE242" w14:textId="77777777" w:rsidR="00B75F78" w:rsidRPr="00B75F78" w:rsidRDefault="00B75F78" w:rsidP="00B75F78">
            <w:pPr>
              <w:spacing w:before="120" w:after="120"/>
              <w:rPr>
                <w:rFonts w:ascii="Arial" w:hAnsi="Arial" w:cs="Arial"/>
                <w:sz w:val="24"/>
                <w:szCs w:val="24"/>
              </w:rPr>
            </w:pPr>
          </w:p>
        </w:tc>
      </w:tr>
      <w:tr w:rsidR="00B75F78" w:rsidRPr="00B75F78" w14:paraId="0AED3455" w14:textId="77777777" w:rsidTr="00B81D3B">
        <w:trPr>
          <w:trHeight w:val="433"/>
        </w:trPr>
        <w:tc>
          <w:tcPr>
            <w:tcW w:w="4244" w:type="dxa"/>
            <w:gridSpan w:val="8"/>
            <w:tcBorders>
              <w:top w:val="single" w:sz="6" w:space="0" w:color="auto"/>
              <w:bottom w:val="single" w:sz="6" w:space="0" w:color="auto"/>
              <w:right w:val="single" w:sz="6" w:space="0" w:color="auto"/>
            </w:tcBorders>
            <w:shd w:val="clear" w:color="auto" w:fill="FFFFFF"/>
            <w:vAlign w:val="center"/>
          </w:tcPr>
          <w:p w14:paraId="7383CDA7" w14:textId="77777777" w:rsidR="00B75F78" w:rsidRPr="00B75F78" w:rsidRDefault="00B75F78" w:rsidP="00B75F78">
            <w:pPr>
              <w:tabs>
                <w:tab w:val="left" w:pos="34"/>
              </w:tabs>
              <w:spacing w:before="120" w:after="120" w:line="360" w:lineRule="auto"/>
              <w:ind w:right="28"/>
              <w:rPr>
                <w:rFonts w:ascii="Arial" w:hAnsi="Arial" w:cs="Arial"/>
                <w:iCs/>
                <w:sz w:val="24"/>
                <w:szCs w:val="24"/>
              </w:rPr>
            </w:pPr>
            <w:r w:rsidRPr="00B75F78">
              <w:rPr>
                <w:rFonts w:ascii="Arial" w:hAnsi="Arial" w:cs="Arial"/>
                <w:iCs/>
                <w:sz w:val="24"/>
                <w:szCs w:val="24"/>
              </w:rPr>
              <w:t>Liczba pracowników wymiaru sprawiedliwości, którzy podnieśli kompetencje w zakresie znajomości potrzeb osób z niepełnosprawnościami oraz komunikacji z nimi</w:t>
            </w:r>
          </w:p>
        </w:tc>
        <w:tc>
          <w:tcPr>
            <w:tcW w:w="155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2757CBA"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03EA532"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w:t>
            </w:r>
          </w:p>
        </w:tc>
        <w:tc>
          <w:tcPr>
            <w:tcW w:w="1994" w:type="dxa"/>
            <w:gridSpan w:val="2"/>
            <w:tcBorders>
              <w:top w:val="single" w:sz="6" w:space="0" w:color="auto"/>
              <w:left w:val="single" w:sz="6" w:space="0" w:color="auto"/>
              <w:bottom w:val="single" w:sz="6" w:space="0" w:color="auto"/>
            </w:tcBorders>
            <w:shd w:val="clear" w:color="auto" w:fill="FFFFFF"/>
            <w:vAlign w:val="center"/>
          </w:tcPr>
          <w:p w14:paraId="4E54166D"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3060</w:t>
            </w:r>
          </w:p>
        </w:tc>
      </w:tr>
      <w:tr w:rsidR="00B75F78" w:rsidRPr="00B75F78" w14:paraId="7F2D5115" w14:textId="77777777" w:rsidTr="00B81D3B">
        <w:trPr>
          <w:trHeight w:val="413"/>
        </w:trPr>
        <w:tc>
          <w:tcPr>
            <w:tcW w:w="4244" w:type="dxa"/>
            <w:gridSpan w:val="8"/>
            <w:tcBorders>
              <w:top w:val="single" w:sz="6" w:space="0" w:color="auto"/>
              <w:bottom w:val="single" w:sz="6" w:space="0" w:color="auto"/>
              <w:right w:val="single" w:sz="6" w:space="0" w:color="auto"/>
            </w:tcBorders>
            <w:shd w:val="clear" w:color="auto" w:fill="FFFFFF"/>
            <w:vAlign w:val="center"/>
          </w:tcPr>
          <w:p w14:paraId="48FD6776" w14:textId="77777777" w:rsidR="00B75F78" w:rsidRPr="00B75F78" w:rsidRDefault="00B75F78" w:rsidP="00B75F78">
            <w:pPr>
              <w:tabs>
                <w:tab w:val="left" w:pos="0"/>
                <w:tab w:val="left" w:pos="34"/>
              </w:tabs>
              <w:spacing w:before="120" w:after="120" w:line="360" w:lineRule="auto"/>
              <w:ind w:right="169"/>
              <w:rPr>
                <w:rFonts w:ascii="Arial" w:hAnsi="Arial" w:cs="Arial"/>
                <w:sz w:val="24"/>
                <w:szCs w:val="24"/>
              </w:rPr>
            </w:pPr>
            <w:r w:rsidRPr="00B75F78">
              <w:rPr>
                <w:rFonts w:ascii="Arial" w:eastAsia="Times New Roman" w:hAnsi="Arial" w:cs="Arial"/>
                <w:sz w:val="24"/>
                <w:szCs w:val="24"/>
                <w:lang w:eastAsia="en-GB"/>
              </w:rPr>
              <w:t>Liczba podmiotów, w których wdrożono usprawnienia w zakresie dostępności dla osób z niepełnosprawnościami</w:t>
            </w:r>
          </w:p>
        </w:tc>
        <w:tc>
          <w:tcPr>
            <w:tcW w:w="155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C76F7C1"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B0B7171"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w:t>
            </w:r>
          </w:p>
        </w:tc>
        <w:tc>
          <w:tcPr>
            <w:tcW w:w="1994" w:type="dxa"/>
            <w:gridSpan w:val="2"/>
            <w:tcBorders>
              <w:top w:val="single" w:sz="6" w:space="0" w:color="auto"/>
              <w:left w:val="single" w:sz="6" w:space="0" w:color="auto"/>
              <w:bottom w:val="single" w:sz="6" w:space="0" w:color="auto"/>
            </w:tcBorders>
            <w:shd w:val="clear" w:color="auto" w:fill="FFFFFF"/>
            <w:vAlign w:val="center"/>
          </w:tcPr>
          <w:p w14:paraId="410BDD15"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35</w:t>
            </w:r>
          </w:p>
        </w:tc>
      </w:tr>
      <w:tr w:rsidR="00B75F78" w:rsidRPr="00B75F78" w14:paraId="1E4C8A8B" w14:textId="77777777" w:rsidTr="00B81D3B">
        <w:trPr>
          <w:trHeight w:val="291"/>
        </w:trPr>
        <w:tc>
          <w:tcPr>
            <w:tcW w:w="4244" w:type="dxa"/>
            <w:gridSpan w:val="8"/>
            <w:tcBorders>
              <w:top w:val="single" w:sz="6" w:space="0" w:color="auto"/>
              <w:bottom w:val="single" w:sz="6" w:space="0" w:color="auto"/>
              <w:right w:val="single" w:sz="6" w:space="0" w:color="auto"/>
            </w:tcBorders>
            <w:shd w:val="clear" w:color="auto" w:fill="FFFFFF"/>
            <w:vAlign w:val="center"/>
          </w:tcPr>
          <w:p w14:paraId="088C8666" w14:textId="77777777" w:rsidR="00B75F78" w:rsidRPr="00B75F78" w:rsidRDefault="00B75F78" w:rsidP="00B75F78">
            <w:pPr>
              <w:tabs>
                <w:tab w:val="left" w:pos="318"/>
              </w:tabs>
              <w:spacing w:before="120" w:after="120" w:line="360" w:lineRule="auto"/>
              <w:ind w:right="28"/>
              <w:rPr>
                <w:rFonts w:ascii="Arial" w:hAnsi="Arial" w:cs="Arial"/>
                <w:sz w:val="24"/>
                <w:szCs w:val="24"/>
              </w:rPr>
            </w:pPr>
            <w:bookmarkStart w:id="14" w:name="_Hlk33173864"/>
            <w:r w:rsidRPr="00B75F78">
              <w:rPr>
                <w:rFonts w:ascii="Arial" w:hAnsi="Arial" w:cs="Arial"/>
                <w:sz w:val="24"/>
                <w:szCs w:val="24"/>
              </w:rPr>
              <w:t>Liczba przedstawicieli zawodów prawniczych (radców prawnych, adwokatów, notariuszy), którzy podnieśli kompetencje w zakresie znajomości potrzeb osób z niepełnosprawnościami oraz komunikacji z nimi</w:t>
            </w:r>
            <w:bookmarkEnd w:id="14"/>
          </w:p>
        </w:tc>
        <w:tc>
          <w:tcPr>
            <w:tcW w:w="155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20C9C99"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8E04D23"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w:t>
            </w:r>
          </w:p>
        </w:tc>
        <w:tc>
          <w:tcPr>
            <w:tcW w:w="1994" w:type="dxa"/>
            <w:gridSpan w:val="2"/>
            <w:tcBorders>
              <w:top w:val="single" w:sz="6" w:space="0" w:color="auto"/>
              <w:left w:val="single" w:sz="6" w:space="0" w:color="auto"/>
              <w:bottom w:val="single" w:sz="6" w:space="0" w:color="auto"/>
            </w:tcBorders>
            <w:shd w:val="clear" w:color="auto" w:fill="FFFFFF"/>
            <w:vAlign w:val="center"/>
          </w:tcPr>
          <w:p w14:paraId="1FFBE9FE"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90</w:t>
            </w:r>
          </w:p>
        </w:tc>
      </w:tr>
      <w:tr w:rsidR="00B75F78" w:rsidRPr="00B75F78" w14:paraId="36751850" w14:textId="77777777" w:rsidTr="00B81D3B">
        <w:trPr>
          <w:trHeight w:val="567"/>
        </w:trPr>
        <w:tc>
          <w:tcPr>
            <w:tcW w:w="9356" w:type="dxa"/>
            <w:gridSpan w:val="17"/>
            <w:tcBorders>
              <w:top w:val="single" w:sz="12" w:space="0" w:color="auto"/>
              <w:bottom w:val="single" w:sz="12" w:space="0" w:color="auto"/>
            </w:tcBorders>
            <w:shd w:val="clear" w:color="auto" w:fill="CCC0D9"/>
            <w:vAlign w:val="center"/>
          </w:tcPr>
          <w:p w14:paraId="796BC518" w14:textId="77777777" w:rsidR="00B75F78" w:rsidRPr="00B75F78" w:rsidRDefault="00B75F78" w:rsidP="00B75F78">
            <w:pPr>
              <w:spacing w:before="120" w:after="120"/>
              <w:ind w:left="57"/>
              <w:rPr>
                <w:rFonts w:ascii="Arial" w:hAnsi="Arial" w:cs="Arial"/>
                <w:b/>
                <w:sz w:val="28"/>
                <w:szCs w:val="28"/>
              </w:rPr>
            </w:pPr>
            <w:r w:rsidRPr="00B75F78">
              <w:rPr>
                <w:rFonts w:ascii="Arial" w:hAnsi="Arial" w:cs="Arial"/>
                <w:b/>
                <w:sz w:val="28"/>
                <w:szCs w:val="28"/>
              </w:rPr>
              <w:t>WSKAŹNIKI PRODUKTU</w:t>
            </w:r>
          </w:p>
        </w:tc>
      </w:tr>
      <w:tr w:rsidR="00B75F78" w:rsidRPr="00B75F78" w14:paraId="05ADCD90" w14:textId="77777777" w:rsidTr="00B81D3B">
        <w:trPr>
          <w:trHeight w:val="567"/>
        </w:trPr>
        <w:tc>
          <w:tcPr>
            <w:tcW w:w="4244" w:type="dxa"/>
            <w:gridSpan w:val="8"/>
            <w:vMerge w:val="restart"/>
            <w:tcBorders>
              <w:top w:val="single" w:sz="12" w:space="0" w:color="auto"/>
              <w:left w:val="single" w:sz="12" w:space="0" w:color="auto"/>
              <w:right w:val="single" w:sz="6" w:space="0" w:color="auto"/>
            </w:tcBorders>
            <w:shd w:val="clear" w:color="auto" w:fill="CCC0D9"/>
            <w:vAlign w:val="center"/>
          </w:tcPr>
          <w:p w14:paraId="453292CC"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Nazwa wskaźnika</w:t>
            </w:r>
          </w:p>
        </w:tc>
        <w:tc>
          <w:tcPr>
            <w:tcW w:w="5112" w:type="dxa"/>
            <w:gridSpan w:val="9"/>
            <w:tcBorders>
              <w:top w:val="single" w:sz="12" w:space="0" w:color="auto"/>
              <w:left w:val="single" w:sz="6" w:space="0" w:color="auto"/>
              <w:bottom w:val="single" w:sz="6" w:space="0" w:color="auto"/>
              <w:right w:val="single" w:sz="12" w:space="0" w:color="auto"/>
            </w:tcBorders>
            <w:shd w:val="clear" w:color="auto" w:fill="CCC0D9"/>
            <w:vAlign w:val="center"/>
          </w:tcPr>
          <w:p w14:paraId="40367EDD"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Wartość docelowa</w:t>
            </w:r>
          </w:p>
        </w:tc>
      </w:tr>
      <w:tr w:rsidR="00B75F78" w:rsidRPr="00B75F78" w14:paraId="4124B93F" w14:textId="77777777" w:rsidTr="00B81D3B">
        <w:trPr>
          <w:trHeight w:val="567"/>
        </w:trPr>
        <w:tc>
          <w:tcPr>
            <w:tcW w:w="4244" w:type="dxa"/>
            <w:gridSpan w:val="8"/>
            <w:vMerge/>
            <w:tcBorders>
              <w:left w:val="single" w:sz="12" w:space="0" w:color="auto"/>
              <w:right w:val="single" w:sz="6" w:space="0" w:color="auto"/>
            </w:tcBorders>
            <w:shd w:val="clear" w:color="auto" w:fill="CCC0D9"/>
            <w:vAlign w:val="center"/>
          </w:tcPr>
          <w:p w14:paraId="77B3C8A7" w14:textId="77777777" w:rsidR="00B75F78" w:rsidRPr="00B75F78" w:rsidRDefault="00B75F78" w:rsidP="00B75F78">
            <w:pPr>
              <w:spacing w:before="120" w:after="120"/>
              <w:ind w:left="57"/>
              <w:rPr>
                <w:rFonts w:ascii="Arial" w:hAnsi="Arial" w:cs="Arial"/>
                <w:b/>
                <w:sz w:val="24"/>
                <w:szCs w:val="24"/>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CCC0D9"/>
            <w:vAlign w:val="center"/>
          </w:tcPr>
          <w:p w14:paraId="4725A97A"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W podziale na:</w:t>
            </w:r>
            <w:r w:rsidRPr="00B75F78">
              <w:rPr>
                <w:rFonts w:ascii="Arial" w:hAnsi="Arial" w:cs="Arial"/>
                <w:sz w:val="24"/>
                <w:szCs w:val="24"/>
                <w:vertAlign w:val="superscript"/>
              </w:rPr>
              <w:footnoteReference w:id="8"/>
            </w:r>
          </w:p>
        </w:tc>
        <w:tc>
          <w:tcPr>
            <w:tcW w:w="1994" w:type="dxa"/>
            <w:gridSpan w:val="2"/>
            <w:vMerge w:val="restart"/>
            <w:tcBorders>
              <w:top w:val="single" w:sz="6" w:space="0" w:color="auto"/>
              <w:left w:val="single" w:sz="6" w:space="0" w:color="auto"/>
              <w:right w:val="single" w:sz="12" w:space="0" w:color="auto"/>
            </w:tcBorders>
            <w:shd w:val="clear" w:color="auto" w:fill="CCC0D9"/>
            <w:vAlign w:val="center"/>
          </w:tcPr>
          <w:p w14:paraId="0AE37C13"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 xml:space="preserve">Ogółem w </w:t>
            </w:r>
            <w:r w:rsidRPr="00B75F78">
              <w:rPr>
                <w:rFonts w:ascii="Arial" w:hAnsi="Arial" w:cs="Arial"/>
                <w:sz w:val="24"/>
                <w:szCs w:val="24"/>
              </w:rPr>
              <w:lastRenderedPageBreak/>
              <w:t>projekcie</w:t>
            </w:r>
          </w:p>
          <w:p w14:paraId="541B94B5" w14:textId="77777777" w:rsidR="00B75F78" w:rsidRPr="00B75F78" w:rsidRDefault="00B75F78" w:rsidP="00B75F78">
            <w:pPr>
              <w:spacing w:before="120" w:after="120"/>
              <w:rPr>
                <w:rFonts w:ascii="Arial" w:hAnsi="Arial" w:cs="Arial"/>
                <w:sz w:val="24"/>
                <w:szCs w:val="24"/>
              </w:rPr>
            </w:pPr>
          </w:p>
        </w:tc>
      </w:tr>
      <w:tr w:rsidR="00B75F78" w:rsidRPr="00B75F78" w14:paraId="35BFF23A" w14:textId="77777777" w:rsidTr="00B81D3B">
        <w:trPr>
          <w:trHeight w:val="567"/>
        </w:trPr>
        <w:tc>
          <w:tcPr>
            <w:tcW w:w="4244" w:type="dxa"/>
            <w:gridSpan w:val="8"/>
            <w:vMerge/>
            <w:tcBorders>
              <w:left w:val="single" w:sz="12" w:space="0" w:color="auto"/>
              <w:bottom w:val="single" w:sz="6" w:space="0" w:color="auto"/>
              <w:right w:val="single" w:sz="6" w:space="0" w:color="auto"/>
            </w:tcBorders>
            <w:shd w:val="clear" w:color="auto" w:fill="CCC0D9"/>
            <w:vAlign w:val="center"/>
          </w:tcPr>
          <w:p w14:paraId="38E38964" w14:textId="77777777" w:rsidR="00B75F78" w:rsidRPr="00B75F78" w:rsidRDefault="00B75F78" w:rsidP="00B75F78">
            <w:pPr>
              <w:spacing w:before="120" w:after="120"/>
              <w:ind w:left="57"/>
              <w:rPr>
                <w:rFonts w:ascii="Arial" w:hAnsi="Arial" w:cs="Arial"/>
                <w:b/>
                <w:sz w:val="24"/>
                <w:szCs w:val="24"/>
              </w:rPr>
            </w:pPr>
          </w:p>
        </w:tc>
        <w:tc>
          <w:tcPr>
            <w:tcW w:w="1558" w:type="dxa"/>
            <w:gridSpan w:val="4"/>
            <w:tcBorders>
              <w:top w:val="single" w:sz="6" w:space="0" w:color="auto"/>
              <w:left w:val="single" w:sz="6" w:space="0" w:color="auto"/>
              <w:bottom w:val="single" w:sz="6" w:space="0" w:color="auto"/>
              <w:right w:val="single" w:sz="6" w:space="0" w:color="auto"/>
            </w:tcBorders>
            <w:shd w:val="clear" w:color="auto" w:fill="CCC0D9"/>
            <w:vAlign w:val="center"/>
          </w:tcPr>
          <w:p w14:paraId="0C1AA390"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750183CE"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Mężczyzn</w:t>
            </w:r>
          </w:p>
        </w:tc>
        <w:tc>
          <w:tcPr>
            <w:tcW w:w="1994" w:type="dxa"/>
            <w:gridSpan w:val="2"/>
            <w:vMerge/>
            <w:tcBorders>
              <w:left w:val="single" w:sz="6" w:space="0" w:color="auto"/>
              <w:bottom w:val="single" w:sz="6" w:space="0" w:color="auto"/>
              <w:right w:val="single" w:sz="12" w:space="0" w:color="auto"/>
            </w:tcBorders>
            <w:shd w:val="clear" w:color="auto" w:fill="CCC0D9"/>
            <w:vAlign w:val="center"/>
          </w:tcPr>
          <w:p w14:paraId="562A7464" w14:textId="77777777" w:rsidR="00B75F78" w:rsidRPr="00B75F78" w:rsidRDefault="00B75F78" w:rsidP="00B75F78">
            <w:pPr>
              <w:spacing w:before="120" w:after="120"/>
              <w:rPr>
                <w:rFonts w:ascii="Arial" w:hAnsi="Arial" w:cs="Arial"/>
                <w:sz w:val="24"/>
                <w:szCs w:val="24"/>
              </w:rPr>
            </w:pPr>
          </w:p>
        </w:tc>
      </w:tr>
      <w:tr w:rsidR="00B75F78" w:rsidRPr="00B75F78" w14:paraId="15B06EBC" w14:textId="77777777" w:rsidTr="00B81D3B">
        <w:trPr>
          <w:trHeight w:val="417"/>
        </w:trPr>
        <w:tc>
          <w:tcPr>
            <w:tcW w:w="4244" w:type="dxa"/>
            <w:gridSpan w:val="8"/>
            <w:tcBorders>
              <w:top w:val="single" w:sz="6" w:space="0" w:color="auto"/>
              <w:left w:val="single" w:sz="12" w:space="0" w:color="auto"/>
              <w:bottom w:val="single" w:sz="6" w:space="0" w:color="auto"/>
              <w:right w:val="single" w:sz="6" w:space="0" w:color="auto"/>
            </w:tcBorders>
            <w:shd w:val="clear" w:color="auto" w:fill="FFFFFF"/>
            <w:vAlign w:val="center"/>
          </w:tcPr>
          <w:p w14:paraId="1FBC6301" w14:textId="77777777" w:rsidR="00B75F78" w:rsidRPr="00B75F78" w:rsidRDefault="00B75F78" w:rsidP="00B75F78">
            <w:pPr>
              <w:spacing w:before="120" w:after="120" w:line="360" w:lineRule="auto"/>
              <w:ind w:left="30" w:right="-121"/>
              <w:rPr>
                <w:rFonts w:ascii="Arial" w:hAnsi="Arial" w:cs="Arial"/>
                <w:sz w:val="24"/>
                <w:szCs w:val="24"/>
              </w:rPr>
            </w:pPr>
            <w:r w:rsidRPr="00B75F78">
              <w:rPr>
                <w:rFonts w:ascii="Arial" w:hAnsi="Arial" w:cs="Arial"/>
                <w:iCs/>
                <w:sz w:val="24"/>
                <w:szCs w:val="24"/>
              </w:rPr>
              <w:lastRenderedPageBreak/>
              <w:t>Liczba pracowników wymiaru sprawiedliwości objętych wsparciem szkoleniowym w zakresie znajomości potrzeb osób z niepełnosprawnościami oraz komunikacji z nimi</w:t>
            </w:r>
          </w:p>
        </w:tc>
        <w:tc>
          <w:tcPr>
            <w:tcW w:w="155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92EDF3A"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63680F3"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w:t>
            </w:r>
          </w:p>
        </w:tc>
        <w:tc>
          <w:tcPr>
            <w:tcW w:w="1994"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63FDABB0"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3400</w:t>
            </w:r>
          </w:p>
        </w:tc>
      </w:tr>
      <w:tr w:rsidR="00B75F78" w:rsidRPr="00B75F78" w14:paraId="2E1CDCD3" w14:textId="77777777" w:rsidTr="00B81D3B">
        <w:trPr>
          <w:trHeight w:val="403"/>
        </w:trPr>
        <w:tc>
          <w:tcPr>
            <w:tcW w:w="4244" w:type="dxa"/>
            <w:gridSpan w:val="8"/>
            <w:tcBorders>
              <w:top w:val="single" w:sz="6" w:space="0" w:color="auto"/>
              <w:left w:val="single" w:sz="12" w:space="0" w:color="auto"/>
              <w:bottom w:val="single" w:sz="6" w:space="0" w:color="auto"/>
              <w:right w:val="single" w:sz="6" w:space="0" w:color="auto"/>
            </w:tcBorders>
            <w:shd w:val="clear" w:color="auto" w:fill="FFFFFF"/>
            <w:vAlign w:val="center"/>
          </w:tcPr>
          <w:p w14:paraId="2C94D613" w14:textId="77777777" w:rsidR="00B75F78" w:rsidRPr="00B75F78" w:rsidRDefault="00B75F78" w:rsidP="00B75F78">
            <w:pPr>
              <w:tabs>
                <w:tab w:val="left" w:pos="318"/>
                <w:tab w:val="left" w:pos="3862"/>
              </w:tabs>
              <w:spacing w:before="120" w:after="120" w:line="360" w:lineRule="auto"/>
              <w:ind w:left="30" w:right="169" w:hanging="30"/>
              <w:rPr>
                <w:rFonts w:ascii="Arial" w:hAnsi="Arial" w:cs="Arial"/>
                <w:sz w:val="24"/>
                <w:szCs w:val="24"/>
              </w:rPr>
            </w:pPr>
            <w:r w:rsidRPr="00B75F78">
              <w:rPr>
                <w:rFonts w:ascii="Arial" w:hAnsi="Arial" w:cs="Arial"/>
                <w:iCs/>
                <w:sz w:val="24"/>
                <w:szCs w:val="24"/>
              </w:rPr>
              <w:t>Liczba przedstawicieli zawodów prawniczych (radców prawnych, adwokatów, notariuszy) objętych wsparciem szkoleniowym w zakresie znajomości potrzeb osób z niepełnosprawnościami oraz komunikacji z nimi</w:t>
            </w:r>
          </w:p>
        </w:tc>
        <w:tc>
          <w:tcPr>
            <w:tcW w:w="155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4E55E15"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E573AE6"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w:t>
            </w:r>
          </w:p>
        </w:tc>
        <w:tc>
          <w:tcPr>
            <w:tcW w:w="1994"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037B5948"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100</w:t>
            </w:r>
          </w:p>
        </w:tc>
      </w:tr>
      <w:tr w:rsidR="00B75F78" w:rsidRPr="00B75F78" w14:paraId="7B297841" w14:textId="77777777" w:rsidTr="00B81D3B">
        <w:trPr>
          <w:trHeight w:val="403"/>
        </w:trPr>
        <w:tc>
          <w:tcPr>
            <w:tcW w:w="4244" w:type="dxa"/>
            <w:gridSpan w:val="8"/>
            <w:tcBorders>
              <w:top w:val="single" w:sz="6" w:space="0" w:color="auto"/>
              <w:left w:val="single" w:sz="12" w:space="0" w:color="auto"/>
              <w:bottom w:val="single" w:sz="6" w:space="0" w:color="auto"/>
              <w:right w:val="single" w:sz="6" w:space="0" w:color="auto"/>
            </w:tcBorders>
            <w:shd w:val="clear" w:color="auto" w:fill="FFFFFF"/>
            <w:vAlign w:val="center"/>
          </w:tcPr>
          <w:p w14:paraId="245050F0" w14:textId="77777777" w:rsidR="00B75F78" w:rsidRPr="00B75F78" w:rsidRDefault="00B75F78" w:rsidP="00B75F78">
            <w:pPr>
              <w:tabs>
                <w:tab w:val="left" w:pos="318"/>
                <w:tab w:val="left" w:pos="3862"/>
              </w:tabs>
              <w:spacing w:before="120" w:after="120" w:line="360" w:lineRule="auto"/>
              <w:ind w:right="169"/>
              <w:rPr>
                <w:rFonts w:ascii="Arial" w:hAnsi="Arial" w:cs="Arial"/>
                <w:iCs/>
                <w:sz w:val="24"/>
                <w:szCs w:val="24"/>
              </w:rPr>
            </w:pPr>
            <w:r w:rsidRPr="00B75F78">
              <w:rPr>
                <w:rFonts w:ascii="Arial" w:eastAsia="Times New Roman" w:hAnsi="Arial" w:cs="Arial"/>
                <w:sz w:val="24"/>
                <w:szCs w:val="24"/>
                <w:lang w:eastAsia="en-GB"/>
              </w:rPr>
              <w:t>Liczba podmiotów, objętych wsparciem w zakresie wdrażania usprawnień dot. dostępności dla osób z niepełnosprawnościami</w:t>
            </w:r>
          </w:p>
        </w:tc>
        <w:tc>
          <w:tcPr>
            <w:tcW w:w="155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83DC933" w14:textId="77777777" w:rsidR="00B75F78" w:rsidRPr="00B75F78" w:rsidRDefault="00B75F78" w:rsidP="00B75F78">
            <w:pPr>
              <w:spacing w:before="120" w:after="120"/>
              <w:rPr>
                <w:rFonts w:ascii="Arial" w:hAnsi="Arial" w:cs="Arial"/>
                <w:sz w:val="24"/>
                <w:szCs w:val="24"/>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55C8457" w14:textId="77777777" w:rsidR="00B75F78" w:rsidRPr="00B75F78" w:rsidRDefault="00B75F78" w:rsidP="00B75F78">
            <w:pPr>
              <w:spacing w:before="120" w:after="120"/>
              <w:rPr>
                <w:rFonts w:ascii="Arial" w:hAnsi="Arial" w:cs="Arial"/>
                <w:sz w:val="24"/>
                <w:szCs w:val="24"/>
              </w:rPr>
            </w:pPr>
          </w:p>
        </w:tc>
        <w:tc>
          <w:tcPr>
            <w:tcW w:w="1994"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394DDD24"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35</w:t>
            </w:r>
          </w:p>
        </w:tc>
      </w:tr>
      <w:tr w:rsidR="00B75F78" w:rsidRPr="00B75F78" w14:paraId="58E24A78" w14:textId="77777777" w:rsidTr="00B81D3B">
        <w:trPr>
          <w:trHeight w:val="403"/>
        </w:trPr>
        <w:tc>
          <w:tcPr>
            <w:tcW w:w="4244" w:type="dxa"/>
            <w:gridSpan w:val="8"/>
            <w:tcBorders>
              <w:top w:val="single" w:sz="6" w:space="0" w:color="auto"/>
              <w:left w:val="single" w:sz="12" w:space="0" w:color="auto"/>
              <w:bottom w:val="single" w:sz="6" w:space="0" w:color="auto"/>
              <w:right w:val="single" w:sz="6" w:space="0" w:color="auto"/>
            </w:tcBorders>
            <w:shd w:val="clear" w:color="auto" w:fill="FFFFFF"/>
            <w:vAlign w:val="center"/>
          </w:tcPr>
          <w:p w14:paraId="00F74F14" w14:textId="77777777" w:rsidR="00B75F78" w:rsidRPr="00B75F78" w:rsidRDefault="00B75F78" w:rsidP="00B75F78">
            <w:pPr>
              <w:tabs>
                <w:tab w:val="left" w:pos="318"/>
                <w:tab w:val="left" w:pos="3862"/>
              </w:tabs>
              <w:spacing w:before="120" w:after="120" w:line="360" w:lineRule="auto"/>
              <w:ind w:right="169"/>
              <w:rPr>
                <w:rFonts w:ascii="Arial" w:eastAsia="Times New Roman" w:hAnsi="Arial" w:cs="Arial"/>
                <w:sz w:val="24"/>
                <w:szCs w:val="24"/>
                <w:lang w:eastAsia="en-GB"/>
              </w:rPr>
            </w:pPr>
            <w:r w:rsidRPr="00B75F78">
              <w:rPr>
                <w:rFonts w:ascii="Arial" w:eastAsia="Times New Roman" w:hAnsi="Arial" w:cs="Arial"/>
                <w:sz w:val="24"/>
                <w:szCs w:val="24"/>
                <w:lang w:eastAsia="en-GB"/>
              </w:rPr>
              <w:t>Liczba opracowanych Modeli Dostępnego Sądu</w:t>
            </w:r>
          </w:p>
        </w:tc>
        <w:tc>
          <w:tcPr>
            <w:tcW w:w="155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AA15050" w14:textId="77777777" w:rsidR="00B75F78" w:rsidRPr="00B75F78" w:rsidRDefault="00B75F78" w:rsidP="00B75F78">
            <w:pPr>
              <w:spacing w:before="120" w:after="120"/>
              <w:rPr>
                <w:rFonts w:ascii="Arial" w:hAnsi="Arial" w:cs="Arial"/>
                <w:sz w:val="24"/>
                <w:szCs w:val="24"/>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992E0B0" w14:textId="77777777" w:rsidR="00B75F78" w:rsidRPr="00B75F78" w:rsidRDefault="00B75F78" w:rsidP="00B75F78">
            <w:pPr>
              <w:spacing w:before="120" w:after="120"/>
              <w:rPr>
                <w:rFonts w:ascii="Arial" w:hAnsi="Arial" w:cs="Arial"/>
                <w:sz w:val="24"/>
                <w:szCs w:val="24"/>
              </w:rPr>
            </w:pPr>
          </w:p>
        </w:tc>
        <w:tc>
          <w:tcPr>
            <w:tcW w:w="1994"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62C273D3"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1</w:t>
            </w:r>
          </w:p>
        </w:tc>
      </w:tr>
      <w:tr w:rsidR="00B75F78" w:rsidRPr="00B75F78" w14:paraId="4C908CA7" w14:textId="77777777" w:rsidTr="00B81D3B">
        <w:trPr>
          <w:trHeight w:val="403"/>
        </w:trPr>
        <w:tc>
          <w:tcPr>
            <w:tcW w:w="4244" w:type="dxa"/>
            <w:gridSpan w:val="8"/>
            <w:tcBorders>
              <w:top w:val="single" w:sz="6" w:space="0" w:color="auto"/>
              <w:left w:val="single" w:sz="12" w:space="0" w:color="auto"/>
              <w:bottom w:val="single" w:sz="6" w:space="0" w:color="auto"/>
              <w:right w:val="single" w:sz="6" w:space="0" w:color="auto"/>
            </w:tcBorders>
            <w:shd w:val="clear" w:color="auto" w:fill="FFFFFF"/>
            <w:vAlign w:val="center"/>
          </w:tcPr>
          <w:p w14:paraId="7C4FB375" w14:textId="77777777" w:rsidR="00B75F78" w:rsidRPr="00B75F78" w:rsidRDefault="00B75F78" w:rsidP="00B75F78">
            <w:pPr>
              <w:tabs>
                <w:tab w:val="left" w:pos="318"/>
              </w:tabs>
              <w:spacing w:before="120" w:after="120" w:line="360" w:lineRule="auto"/>
              <w:ind w:right="169"/>
              <w:rPr>
                <w:rFonts w:ascii="Arial" w:hAnsi="Arial" w:cs="Arial"/>
                <w:sz w:val="24"/>
                <w:szCs w:val="24"/>
              </w:rPr>
            </w:pPr>
            <w:r w:rsidRPr="00B75F78">
              <w:rPr>
                <w:rFonts w:ascii="Arial" w:hAnsi="Arial" w:cs="Arial"/>
                <w:sz w:val="24"/>
                <w:szCs w:val="24"/>
              </w:rPr>
              <w:t>Liczba opracowanych ramowych programów szkoleniowych (dla każdej szkolonej grupy interesariuszy)</w:t>
            </w:r>
          </w:p>
        </w:tc>
        <w:tc>
          <w:tcPr>
            <w:tcW w:w="155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8A495DA" w14:textId="77777777" w:rsidR="00B75F78" w:rsidRPr="00B75F78" w:rsidRDefault="00B75F78" w:rsidP="00B75F78">
            <w:pPr>
              <w:spacing w:before="120" w:after="120"/>
              <w:rPr>
                <w:rFonts w:ascii="Arial" w:hAnsi="Arial" w:cs="Arial"/>
                <w:sz w:val="24"/>
                <w:szCs w:val="24"/>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D1599E4" w14:textId="77777777" w:rsidR="00B75F78" w:rsidRPr="00B75F78" w:rsidRDefault="00B75F78" w:rsidP="00B75F78">
            <w:pPr>
              <w:spacing w:before="120" w:after="120"/>
              <w:rPr>
                <w:rFonts w:ascii="Arial" w:hAnsi="Arial" w:cs="Arial"/>
                <w:sz w:val="24"/>
                <w:szCs w:val="24"/>
              </w:rPr>
            </w:pPr>
          </w:p>
        </w:tc>
        <w:tc>
          <w:tcPr>
            <w:tcW w:w="1994"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40BDCDE4"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6</w:t>
            </w:r>
          </w:p>
        </w:tc>
      </w:tr>
      <w:tr w:rsidR="00B75F78" w:rsidRPr="00B75F78" w14:paraId="4088259A" w14:textId="77777777" w:rsidTr="00B81D3B">
        <w:trPr>
          <w:trHeight w:val="403"/>
        </w:trPr>
        <w:tc>
          <w:tcPr>
            <w:tcW w:w="4244" w:type="dxa"/>
            <w:gridSpan w:val="8"/>
            <w:tcBorders>
              <w:top w:val="single" w:sz="6" w:space="0" w:color="auto"/>
              <w:left w:val="single" w:sz="12" w:space="0" w:color="auto"/>
              <w:bottom w:val="single" w:sz="6" w:space="0" w:color="auto"/>
              <w:right w:val="single" w:sz="6" w:space="0" w:color="auto"/>
            </w:tcBorders>
            <w:shd w:val="clear" w:color="auto" w:fill="FFFFFF"/>
            <w:vAlign w:val="center"/>
          </w:tcPr>
          <w:p w14:paraId="6070C0ED" w14:textId="77777777" w:rsidR="00B75F78" w:rsidRPr="00B75F78" w:rsidRDefault="00B75F78" w:rsidP="00B75F78">
            <w:pPr>
              <w:tabs>
                <w:tab w:val="left" w:pos="318"/>
                <w:tab w:val="left" w:pos="3862"/>
              </w:tabs>
              <w:spacing w:before="120" w:after="120" w:line="360" w:lineRule="auto"/>
              <w:ind w:right="169"/>
              <w:rPr>
                <w:rFonts w:ascii="Arial" w:hAnsi="Arial" w:cs="Arial"/>
                <w:sz w:val="24"/>
                <w:szCs w:val="24"/>
              </w:rPr>
            </w:pPr>
            <w:r w:rsidRPr="00B75F78">
              <w:rPr>
                <w:rFonts w:ascii="Arial" w:hAnsi="Arial" w:cs="Arial"/>
                <w:sz w:val="24"/>
                <w:szCs w:val="24"/>
              </w:rPr>
              <w:t xml:space="preserve">Liczba opracowanych raportów </w:t>
            </w:r>
          </w:p>
        </w:tc>
        <w:tc>
          <w:tcPr>
            <w:tcW w:w="155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0A63144" w14:textId="77777777" w:rsidR="00B75F78" w:rsidRPr="00B75F78" w:rsidRDefault="00B75F78" w:rsidP="00B75F78">
            <w:pPr>
              <w:spacing w:before="120" w:after="120"/>
              <w:rPr>
                <w:rFonts w:ascii="Arial" w:hAnsi="Arial" w:cs="Arial"/>
                <w:sz w:val="24"/>
                <w:szCs w:val="24"/>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2BCF07E" w14:textId="77777777" w:rsidR="00B75F78" w:rsidRPr="00B75F78" w:rsidRDefault="00B75F78" w:rsidP="00B75F78">
            <w:pPr>
              <w:spacing w:before="120" w:after="120"/>
              <w:rPr>
                <w:rFonts w:ascii="Arial" w:hAnsi="Arial" w:cs="Arial"/>
                <w:sz w:val="24"/>
                <w:szCs w:val="24"/>
              </w:rPr>
            </w:pPr>
          </w:p>
        </w:tc>
        <w:tc>
          <w:tcPr>
            <w:tcW w:w="1994"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0562F61B" w14:textId="77777777" w:rsidR="00B75F78" w:rsidRPr="00B75F78" w:rsidRDefault="00B75F78" w:rsidP="00B75F78">
            <w:pPr>
              <w:spacing w:before="120" w:after="120"/>
              <w:rPr>
                <w:rFonts w:ascii="Arial" w:hAnsi="Arial" w:cs="Arial"/>
                <w:sz w:val="24"/>
                <w:szCs w:val="24"/>
              </w:rPr>
            </w:pPr>
            <w:r w:rsidRPr="00B75F78">
              <w:rPr>
                <w:rFonts w:ascii="Arial" w:hAnsi="Arial" w:cs="Arial"/>
                <w:sz w:val="24"/>
                <w:szCs w:val="24"/>
              </w:rPr>
              <w:t>1</w:t>
            </w:r>
          </w:p>
        </w:tc>
      </w:tr>
      <w:tr w:rsidR="00B75F78" w:rsidRPr="00B75F78" w14:paraId="15515A0F" w14:textId="77777777" w:rsidTr="00B81D3B">
        <w:trPr>
          <w:trHeight w:val="567"/>
        </w:trPr>
        <w:tc>
          <w:tcPr>
            <w:tcW w:w="9356" w:type="dxa"/>
            <w:gridSpan w:val="17"/>
            <w:tcBorders>
              <w:top w:val="single" w:sz="12" w:space="0" w:color="auto"/>
              <w:bottom w:val="single" w:sz="12" w:space="0" w:color="auto"/>
            </w:tcBorders>
            <w:shd w:val="clear" w:color="auto" w:fill="CCC0D9"/>
            <w:vAlign w:val="center"/>
          </w:tcPr>
          <w:p w14:paraId="42175CD6" w14:textId="77777777" w:rsidR="00B75F78" w:rsidRPr="00B75F78" w:rsidRDefault="00B75F78" w:rsidP="00B75F78">
            <w:pPr>
              <w:spacing w:before="120" w:after="120"/>
              <w:ind w:left="57"/>
              <w:rPr>
                <w:rFonts w:ascii="Arial" w:hAnsi="Arial" w:cs="Arial"/>
                <w:b/>
                <w:sz w:val="28"/>
                <w:szCs w:val="28"/>
              </w:rPr>
            </w:pPr>
            <w:r w:rsidRPr="00B75F78">
              <w:rPr>
                <w:rFonts w:ascii="Arial" w:hAnsi="Arial" w:cs="Arial"/>
                <w:b/>
                <w:sz w:val="28"/>
                <w:szCs w:val="28"/>
              </w:rPr>
              <w:t>SZCZEGÓŁOWE KRYTERIA WYBORU PROJEKTU</w:t>
            </w:r>
          </w:p>
        </w:tc>
      </w:tr>
      <w:tr w:rsidR="00B75F78" w:rsidRPr="00B75F78" w14:paraId="1899F842" w14:textId="77777777" w:rsidTr="00B81D3B">
        <w:trPr>
          <w:trHeight w:val="567"/>
        </w:trPr>
        <w:tc>
          <w:tcPr>
            <w:tcW w:w="9356" w:type="dxa"/>
            <w:gridSpan w:val="17"/>
            <w:tcBorders>
              <w:top w:val="single" w:sz="12" w:space="0" w:color="auto"/>
              <w:bottom w:val="single" w:sz="12" w:space="0" w:color="auto"/>
            </w:tcBorders>
            <w:shd w:val="clear" w:color="auto" w:fill="CCC0D9"/>
            <w:vAlign w:val="center"/>
          </w:tcPr>
          <w:p w14:paraId="6CF89C88" w14:textId="77777777" w:rsidR="00B75F78" w:rsidRPr="00B75F78" w:rsidRDefault="00B75F78" w:rsidP="00B75F78">
            <w:pPr>
              <w:spacing w:before="120" w:after="120"/>
              <w:ind w:left="57"/>
              <w:rPr>
                <w:rFonts w:ascii="Arial" w:hAnsi="Arial" w:cs="Arial"/>
                <w:b/>
                <w:sz w:val="28"/>
                <w:szCs w:val="28"/>
              </w:rPr>
            </w:pPr>
            <w:r w:rsidRPr="00B75F78">
              <w:rPr>
                <w:rFonts w:ascii="Arial" w:hAnsi="Arial" w:cs="Arial"/>
                <w:b/>
                <w:sz w:val="28"/>
                <w:szCs w:val="28"/>
              </w:rPr>
              <w:t>KRYTERIA DOSTĘPU</w:t>
            </w:r>
          </w:p>
        </w:tc>
      </w:tr>
      <w:tr w:rsidR="00B75F78" w:rsidRPr="00B75F78" w14:paraId="51DB4543" w14:textId="77777777" w:rsidTr="00B81D3B">
        <w:trPr>
          <w:trHeight w:val="412"/>
        </w:trPr>
        <w:tc>
          <w:tcPr>
            <w:tcW w:w="9356" w:type="dxa"/>
            <w:gridSpan w:val="17"/>
            <w:tcBorders>
              <w:top w:val="single" w:sz="12" w:space="0" w:color="auto"/>
              <w:bottom w:val="single" w:sz="2" w:space="0" w:color="auto"/>
            </w:tcBorders>
            <w:shd w:val="clear" w:color="auto" w:fill="FFFFFF"/>
            <w:vAlign w:val="center"/>
          </w:tcPr>
          <w:p w14:paraId="65D5B059" w14:textId="77777777" w:rsidR="00B75F78" w:rsidRPr="00B75F78" w:rsidRDefault="00B75F78" w:rsidP="00B75F78">
            <w:pPr>
              <w:numPr>
                <w:ilvl w:val="0"/>
                <w:numId w:val="22"/>
              </w:numPr>
              <w:spacing w:before="120" w:after="120"/>
              <w:rPr>
                <w:rFonts w:ascii="Arial" w:hAnsi="Arial" w:cs="Arial"/>
                <w:b/>
                <w:sz w:val="24"/>
                <w:szCs w:val="24"/>
              </w:rPr>
            </w:pPr>
            <w:r w:rsidRPr="00B75F78">
              <w:rPr>
                <w:rFonts w:ascii="Arial" w:hAnsi="Arial" w:cs="Arial"/>
                <w:b/>
                <w:sz w:val="24"/>
                <w:szCs w:val="24"/>
              </w:rPr>
              <w:lastRenderedPageBreak/>
              <w:t>Nie dotyczy</w:t>
            </w:r>
          </w:p>
        </w:tc>
      </w:tr>
      <w:tr w:rsidR="00B75F78" w:rsidRPr="00B75F78" w14:paraId="156A50D5" w14:textId="77777777" w:rsidTr="00B81D3B">
        <w:trPr>
          <w:trHeight w:val="567"/>
        </w:trPr>
        <w:tc>
          <w:tcPr>
            <w:tcW w:w="1983" w:type="dxa"/>
            <w:gridSpan w:val="3"/>
            <w:tcBorders>
              <w:top w:val="single" w:sz="6" w:space="0" w:color="auto"/>
              <w:bottom w:val="single" w:sz="2" w:space="0" w:color="auto"/>
            </w:tcBorders>
            <w:shd w:val="clear" w:color="auto" w:fill="CCC0D9"/>
            <w:vAlign w:val="center"/>
          </w:tcPr>
          <w:p w14:paraId="63FCE9A3" w14:textId="77777777" w:rsidR="00B75F78" w:rsidRPr="00B75F78" w:rsidRDefault="00B75F78" w:rsidP="00B75F78">
            <w:pPr>
              <w:spacing w:before="120" w:after="120"/>
              <w:ind w:left="57"/>
              <w:rPr>
                <w:rFonts w:ascii="Arial" w:hAnsi="Arial" w:cs="Arial"/>
                <w:b/>
                <w:sz w:val="24"/>
                <w:szCs w:val="24"/>
              </w:rPr>
            </w:pPr>
            <w:r w:rsidRPr="00B75F78">
              <w:rPr>
                <w:rFonts w:ascii="Arial" w:hAnsi="Arial" w:cs="Arial"/>
                <w:sz w:val="24"/>
                <w:szCs w:val="24"/>
              </w:rPr>
              <w:t>Uzasadnienie:</w:t>
            </w:r>
          </w:p>
        </w:tc>
        <w:tc>
          <w:tcPr>
            <w:tcW w:w="7373" w:type="dxa"/>
            <w:gridSpan w:val="14"/>
            <w:tcBorders>
              <w:top w:val="single" w:sz="6" w:space="0" w:color="auto"/>
              <w:bottom w:val="single" w:sz="2" w:space="0" w:color="auto"/>
            </w:tcBorders>
            <w:shd w:val="clear" w:color="auto" w:fill="FFFFFF"/>
            <w:vAlign w:val="center"/>
          </w:tcPr>
          <w:p w14:paraId="789C0B4C" w14:textId="77777777" w:rsidR="00B75F78" w:rsidRPr="00B75F78" w:rsidRDefault="00B75F78" w:rsidP="00B75F78">
            <w:pPr>
              <w:spacing w:before="120" w:after="120"/>
              <w:ind w:left="57"/>
              <w:rPr>
                <w:rFonts w:ascii="Arial" w:hAnsi="Arial" w:cs="Arial"/>
                <w:b/>
                <w:sz w:val="24"/>
                <w:szCs w:val="24"/>
              </w:rPr>
            </w:pPr>
          </w:p>
        </w:tc>
      </w:tr>
    </w:tbl>
    <w:p w14:paraId="2AABB659" w14:textId="77777777" w:rsidR="00BF7F7F" w:rsidRDefault="00BF7F7F" w:rsidP="00D67239">
      <w:pPr>
        <w:spacing w:before="120" w:after="120" w:line="240" w:lineRule="atLeast"/>
        <w:rPr>
          <w:rFonts w:ascii="Arial" w:hAnsi="Arial" w:cs="Arial"/>
          <w:sz w:val="24"/>
          <w:szCs w:val="24"/>
        </w:rPr>
      </w:pPr>
    </w:p>
    <w:p w14:paraId="187F4C4D" w14:textId="77777777" w:rsidR="00BF7F7F" w:rsidRDefault="00BF7F7F">
      <w:pPr>
        <w:spacing w:after="0" w:line="240" w:lineRule="auto"/>
        <w:rPr>
          <w:rFonts w:ascii="Arial" w:hAnsi="Arial" w:cs="Arial"/>
          <w:sz w:val="24"/>
          <w:szCs w:val="24"/>
        </w:rPr>
      </w:pPr>
      <w:r>
        <w:rPr>
          <w:rFonts w:ascii="Arial" w:hAnsi="Arial" w:cs="Arial"/>
          <w:sz w:val="24"/>
          <w:szCs w:val="24"/>
        </w:rPr>
        <w:br w:type="page"/>
      </w:r>
    </w:p>
    <w:p w14:paraId="669EE2E3" w14:textId="77777777" w:rsidR="00BF7F7F" w:rsidRPr="00913DD7" w:rsidRDefault="00BF7F7F" w:rsidP="00BF7F7F">
      <w:pPr>
        <w:rPr>
          <w:rFonts w:ascii="Arial" w:hAnsi="Arial" w:cs="Arial"/>
          <w:sz w:val="24"/>
          <w:szCs w:val="24"/>
        </w:rPr>
      </w:pPr>
      <w:r w:rsidRPr="00913DD7">
        <w:rPr>
          <w:rFonts w:ascii="Arial" w:hAnsi="Arial" w:cs="Arial"/>
          <w:sz w:val="24"/>
          <w:szCs w:val="24"/>
        </w:rPr>
        <w:lastRenderedPageBreak/>
        <w:t>Załącznik 1.2</w:t>
      </w:r>
    </w:p>
    <w:tbl>
      <w:tblPr>
        <w:tblW w:w="9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132"/>
        <w:gridCol w:w="565"/>
        <w:gridCol w:w="146"/>
        <w:gridCol w:w="137"/>
        <w:gridCol w:w="428"/>
        <w:gridCol w:w="995"/>
        <w:gridCol w:w="409"/>
        <w:gridCol w:w="10"/>
        <w:gridCol w:w="425"/>
        <w:gridCol w:w="998"/>
        <w:gridCol w:w="413"/>
        <w:gridCol w:w="7"/>
        <w:gridCol w:w="141"/>
        <w:gridCol w:w="425"/>
        <w:gridCol w:w="857"/>
        <w:gridCol w:w="278"/>
        <w:gridCol w:w="145"/>
        <w:gridCol w:w="1845"/>
      </w:tblGrid>
      <w:tr w:rsidR="00200F48" w:rsidRPr="00200F48" w14:paraId="2E81CC79" w14:textId="77777777" w:rsidTr="00B81D3B">
        <w:trPr>
          <w:trHeight w:val="351"/>
        </w:trPr>
        <w:tc>
          <w:tcPr>
            <w:tcW w:w="2408" w:type="dxa"/>
            <w:gridSpan w:val="5"/>
            <w:tcBorders>
              <w:top w:val="single" w:sz="12" w:space="0" w:color="auto"/>
              <w:bottom w:val="single" w:sz="12" w:space="0" w:color="auto"/>
            </w:tcBorders>
            <w:shd w:val="clear" w:color="auto" w:fill="CCC0D9"/>
            <w:vAlign w:val="center"/>
          </w:tcPr>
          <w:p w14:paraId="78731227"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DZIAŁANIE PO WER</w:t>
            </w:r>
          </w:p>
        </w:tc>
        <w:tc>
          <w:tcPr>
            <w:tcW w:w="6948" w:type="dxa"/>
            <w:gridSpan w:val="13"/>
            <w:tcBorders>
              <w:top w:val="single" w:sz="12" w:space="0" w:color="auto"/>
              <w:bottom w:val="single" w:sz="12" w:space="0" w:color="auto"/>
            </w:tcBorders>
            <w:shd w:val="clear" w:color="auto" w:fill="FFFFFF"/>
            <w:vAlign w:val="center"/>
          </w:tcPr>
          <w:p w14:paraId="718C4D63"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Działanie 2.17 Skuteczny wymiar sprawiedliwości</w:t>
            </w:r>
          </w:p>
        </w:tc>
      </w:tr>
      <w:tr w:rsidR="00200F48" w:rsidRPr="00200F48" w14:paraId="15E3F072" w14:textId="77777777" w:rsidTr="00B81D3B">
        <w:trPr>
          <w:trHeight w:val="351"/>
        </w:trPr>
        <w:tc>
          <w:tcPr>
            <w:tcW w:w="9356" w:type="dxa"/>
            <w:gridSpan w:val="18"/>
            <w:tcBorders>
              <w:top w:val="single" w:sz="12" w:space="0" w:color="auto"/>
              <w:bottom w:val="single" w:sz="12" w:space="0" w:color="auto"/>
            </w:tcBorders>
            <w:shd w:val="clear" w:color="auto" w:fill="CCC0D9"/>
            <w:vAlign w:val="center"/>
          </w:tcPr>
          <w:p w14:paraId="448DFB06"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FISZKA PROJEKTU POZAKONKURSOWEGO KONCEPCYJNEGO</w:t>
            </w:r>
          </w:p>
        </w:tc>
      </w:tr>
      <w:tr w:rsidR="00200F48" w:rsidRPr="00200F48" w14:paraId="6A36C4B8" w14:textId="77777777" w:rsidTr="00B81D3B">
        <w:trPr>
          <w:trHeight w:val="351"/>
        </w:trPr>
        <w:tc>
          <w:tcPr>
            <w:tcW w:w="9356" w:type="dxa"/>
            <w:gridSpan w:val="18"/>
            <w:tcBorders>
              <w:top w:val="single" w:sz="12" w:space="0" w:color="auto"/>
              <w:bottom w:val="single" w:sz="2" w:space="0" w:color="auto"/>
            </w:tcBorders>
            <w:shd w:val="clear" w:color="auto" w:fill="CCC0D9"/>
            <w:vAlign w:val="center"/>
          </w:tcPr>
          <w:p w14:paraId="648C0207"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PODSTAWOWE INFORMACJE O PROJEKCIE</w:t>
            </w:r>
          </w:p>
        </w:tc>
      </w:tr>
      <w:tr w:rsidR="00200F48" w:rsidRPr="00200F48" w14:paraId="1EE4DFDC" w14:textId="77777777" w:rsidTr="00B81D3B">
        <w:trPr>
          <w:trHeight w:val="351"/>
        </w:trPr>
        <w:tc>
          <w:tcPr>
            <w:tcW w:w="1980" w:type="dxa"/>
            <w:gridSpan w:val="4"/>
            <w:tcBorders>
              <w:top w:val="single" w:sz="12" w:space="0" w:color="auto"/>
              <w:bottom w:val="single" w:sz="2" w:space="0" w:color="auto"/>
              <w:right w:val="single" w:sz="4" w:space="0" w:color="auto"/>
            </w:tcBorders>
            <w:shd w:val="clear" w:color="auto" w:fill="CCC0D9"/>
            <w:vAlign w:val="center"/>
          </w:tcPr>
          <w:p w14:paraId="5225C28D"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Tytuł lub zakres projektu</w:t>
            </w:r>
            <w:r w:rsidRPr="00200F48">
              <w:rPr>
                <w:rFonts w:ascii="Arial" w:hAnsi="Arial" w:cs="Arial"/>
                <w:sz w:val="24"/>
                <w:szCs w:val="24"/>
                <w:vertAlign w:val="superscript"/>
              </w:rPr>
              <w:footnoteReference w:id="9"/>
            </w:r>
          </w:p>
        </w:tc>
        <w:tc>
          <w:tcPr>
            <w:tcW w:w="7376" w:type="dxa"/>
            <w:gridSpan w:val="14"/>
            <w:tcBorders>
              <w:top w:val="single" w:sz="12" w:space="0" w:color="auto"/>
              <w:left w:val="single" w:sz="4" w:space="0" w:color="auto"/>
              <w:bottom w:val="single" w:sz="2" w:space="0" w:color="auto"/>
              <w:right w:val="single" w:sz="12" w:space="0" w:color="auto"/>
            </w:tcBorders>
            <w:vAlign w:val="center"/>
          </w:tcPr>
          <w:p w14:paraId="0DA570CB"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Szkolenia z zakresu prawa ochrony konsumenta i egzekucji sądowej dla kadr wymiaru sprawiedliwości</w:t>
            </w:r>
          </w:p>
        </w:tc>
      </w:tr>
      <w:tr w:rsidR="00200F48" w:rsidRPr="00200F48" w14:paraId="06B25CBB" w14:textId="77777777" w:rsidTr="00B81D3B">
        <w:trPr>
          <w:trHeight w:val="703"/>
        </w:trPr>
        <w:tc>
          <w:tcPr>
            <w:tcW w:w="1980" w:type="dxa"/>
            <w:gridSpan w:val="4"/>
            <w:tcBorders>
              <w:top w:val="single" w:sz="2" w:space="0" w:color="auto"/>
              <w:bottom w:val="single" w:sz="2" w:space="0" w:color="auto"/>
              <w:right w:val="single" w:sz="4" w:space="0" w:color="auto"/>
            </w:tcBorders>
            <w:shd w:val="clear" w:color="auto" w:fill="CCC0D9"/>
            <w:vAlign w:val="center"/>
          </w:tcPr>
          <w:p w14:paraId="4D6CB2AB"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 xml:space="preserve">Cel szczegółowy PO WER, w </w:t>
            </w:r>
            <w:proofErr w:type="gramStart"/>
            <w:r w:rsidRPr="00200F48">
              <w:rPr>
                <w:rFonts w:ascii="Arial" w:hAnsi="Arial" w:cs="Arial"/>
                <w:sz w:val="24"/>
                <w:szCs w:val="24"/>
              </w:rPr>
              <w:t>ramach którego</w:t>
            </w:r>
            <w:proofErr w:type="gramEnd"/>
            <w:r w:rsidRPr="00200F48">
              <w:rPr>
                <w:rFonts w:ascii="Arial" w:hAnsi="Arial" w:cs="Arial"/>
                <w:sz w:val="24"/>
                <w:szCs w:val="24"/>
              </w:rPr>
              <w:t xml:space="preserve"> projekt będzie realizowany</w:t>
            </w:r>
          </w:p>
        </w:tc>
        <w:tc>
          <w:tcPr>
            <w:tcW w:w="7376" w:type="dxa"/>
            <w:gridSpan w:val="14"/>
            <w:tcBorders>
              <w:top w:val="single" w:sz="2" w:space="0" w:color="auto"/>
              <w:left w:val="single" w:sz="4" w:space="0" w:color="auto"/>
              <w:bottom w:val="single" w:sz="2" w:space="0" w:color="auto"/>
              <w:right w:val="single" w:sz="12" w:space="0" w:color="auto"/>
            </w:tcBorders>
            <w:vAlign w:val="center"/>
          </w:tcPr>
          <w:p w14:paraId="5E0F295A" w14:textId="77777777" w:rsidR="00200F48" w:rsidRPr="00200F48" w:rsidRDefault="00200F48" w:rsidP="00200F48">
            <w:pPr>
              <w:spacing w:before="120" w:after="120" w:line="360" w:lineRule="auto"/>
              <w:rPr>
                <w:rFonts w:ascii="Arial" w:hAnsi="Arial" w:cs="Arial"/>
                <w:i/>
                <w:sz w:val="24"/>
                <w:szCs w:val="24"/>
              </w:rPr>
            </w:pPr>
            <w:proofErr w:type="gramStart"/>
            <w:r w:rsidRPr="00200F48">
              <w:rPr>
                <w:rFonts w:ascii="Arial" w:hAnsi="Arial" w:cs="Arial"/>
                <w:i/>
                <w:sz w:val="24"/>
                <w:szCs w:val="24"/>
              </w:rPr>
              <w:t>Poprawa jakości</w:t>
            </w:r>
            <w:proofErr w:type="gramEnd"/>
            <w:r w:rsidRPr="00200F48">
              <w:rPr>
                <w:rFonts w:ascii="Arial" w:hAnsi="Arial" w:cs="Arial"/>
                <w:i/>
                <w:sz w:val="24"/>
                <w:szCs w:val="24"/>
              </w:rPr>
              <w:t xml:space="preserve"> wydawanych orzeczeń oraz zwiększenie skuteczności ich egzekwowania</w:t>
            </w:r>
          </w:p>
        </w:tc>
      </w:tr>
      <w:tr w:rsidR="00200F48" w:rsidRPr="00200F48" w14:paraId="69253719" w14:textId="77777777" w:rsidTr="00B81D3B">
        <w:trPr>
          <w:trHeight w:val="703"/>
        </w:trPr>
        <w:tc>
          <w:tcPr>
            <w:tcW w:w="1980" w:type="dxa"/>
            <w:gridSpan w:val="4"/>
            <w:tcBorders>
              <w:top w:val="single" w:sz="2" w:space="0" w:color="auto"/>
              <w:bottom w:val="single" w:sz="2" w:space="0" w:color="auto"/>
              <w:right w:val="single" w:sz="4" w:space="0" w:color="auto"/>
            </w:tcBorders>
            <w:shd w:val="clear" w:color="auto" w:fill="CCC0D9"/>
            <w:vAlign w:val="center"/>
          </w:tcPr>
          <w:p w14:paraId="039C2F27"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Priorytet inwestycyjny</w:t>
            </w:r>
          </w:p>
        </w:tc>
        <w:tc>
          <w:tcPr>
            <w:tcW w:w="7376" w:type="dxa"/>
            <w:gridSpan w:val="14"/>
            <w:tcBorders>
              <w:top w:val="single" w:sz="2" w:space="0" w:color="auto"/>
              <w:left w:val="single" w:sz="4" w:space="0" w:color="auto"/>
              <w:bottom w:val="single" w:sz="2" w:space="0" w:color="auto"/>
              <w:right w:val="single" w:sz="12" w:space="0" w:color="auto"/>
            </w:tcBorders>
            <w:vAlign w:val="center"/>
          </w:tcPr>
          <w:p w14:paraId="19C9AE02"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11.I Inwestycje w zdolności instytucjonalne i w sprawność administracji publicznej oraz efektywność usług publicznych na szczeblu krajowym, regionalnym i lokalnym w celu przeprowadzenia reform, z uwzględnieniem lepszego stanowienia prawa i dobrego rządzenia.</w:t>
            </w:r>
          </w:p>
        </w:tc>
      </w:tr>
      <w:tr w:rsidR="00200F48" w:rsidRPr="00200F48" w14:paraId="3AAFAD0D" w14:textId="77777777" w:rsidTr="00B81D3B">
        <w:trPr>
          <w:trHeight w:val="636"/>
        </w:trPr>
        <w:tc>
          <w:tcPr>
            <w:tcW w:w="1980" w:type="dxa"/>
            <w:gridSpan w:val="4"/>
            <w:tcBorders>
              <w:top w:val="single" w:sz="2" w:space="0" w:color="auto"/>
              <w:bottom w:val="single" w:sz="2" w:space="0" w:color="auto"/>
              <w:right w:val="single" w:sz="4" w:space="0" w:color="auto"/>
            </w:tcBorders>
            <w:shd w:val="clear" w:color="auto" w:fill="CCC0D9"/>
            <w:vAlign w:val="center"/>
          </w:tcPr>
          <w:p w14:paraId="53BFB902"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Typ/typy projektów przewidziane do realizacji w ramach projektu</w:t>
            </w:r>
          </w:p>
        </w:tc>
        <w:tc>
          <w:tcPr>
            <w:tcW w:w="7376" w:type="dxa"/>
            <w:gridSpan w:val="14"/>
            <w:tcBorders>
              <w:top w:val="single" w:sz="2" w:space="0" w:color="auto"/>
              <w:left w:val="single" w:sz="4" w:space="0" w:color="auto"/>
              <w:bottom w:val="single" w:sz="2" w:space="0" w:color="auto"/>
              <w:right w:val="single" w:sz="12" w:space="0" w:color="auto"/>
            </w:tcBorders>
            <w:vAlign w:val="center"/>
          </w:tcPr>
          <w:p w14:paraId="7D297663"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Szkolenia oraz studia podyplomowe dla sędziów, urzędników i innych pracowników zatrudnionych w sądach powszechnych, prokuratorów, urzędników i innych pracowników powszechnych jednostek organizacyjnych prokuratury, doradców restrukturyzacyjnych, przedstawicieli zawodów prawniczych oraz mediatorów z zakresu prawa gospodarczego, mediacji w sprawach gospodarczych, informatyki śledczej, ochrony konsumenta, zwalczania i zapobiegania przestępczości gospodarczej i skarbowej, prawa dotyczącego własności intelektualnej, prawa upadłościowego.</w:t>
            </w:r>
          </w:p>
        </w:tc>
      </w:tr>
      <w:tr w:rsidR="00200F48" w:rsidRPr="00200F48" w14:paraId="0A7C952F" w14:textId="77777777" w:rsidTr="00B81D3B">
        <w:trPr>
          <w:trHeight w:val="636"/>
        </w:trPr>
        <w:tc>
          <w:tcPr>
            <w:tcW w:w="1980" w:type="dxa"/>
            <w:gridSpan w:val="4"/>
            <w:tcBorders>
              <w:top w:val="single" w:sz="2" w:space="0" w:color="auto"/>
              <w:bottom w:val="single" w:sz="2" w:space="0" w:color="auto"/>
              <w:right w:val="single" w:sz="4" w:space="0" w:color="auto"/>
            </w:tcBorders>
            <w:shd w:val="clear" w:color="auto" w:fill="CCC0D9"/>
            <w:vAlign w:val="center"/>
          </w:tcPr>
          <w:p w14:paraId="008E9395"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lastRenderedPageBreak/>
              <w:t>Cel główny projektu</w:t>
            </w:r>
          </w:p>
        </w:tc>
        <w:tc>
          <w:tcPr>
            <w:tcW w:w="7376" w:type="dxa"/>
            <w:gridSpan w:val="14"/>
            <w:tcBorders>
              <w:top w:val="single" w:sz="2" w:space="0" w:color="auto"/>
              <w:left w:val="single" w:sz="4" w:space="0" w:color="auto"/>
              <w:bottom w:val="single" w:sz="2" w:space="0" w:color="auto"/>
              <w:right w:val="single" w:sz="12" w:space="0" w:color="auto"/>
            </w:tcBorders>
          </w:tcPr>
          <w:p w14:paraId="78C07605"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Aktualizacja i podniesienie specjalistycznej wiedzy prawniczej z zakresu prawa ochrony konsumentów oraz egzekucji sądowej kadr wymiaru sprawiedliwości</w:t>
            </w:r>
          </w:p>
        </w:tc>
      </w:tr>
      <w:tr w:rsidR="00200F48" w:rsidRPr="00200F48" w14:paraId="21557715" w14:textId="77777777" w:rsidTr="00B81D3B">
        <w:trPr>
          <w:trHeight w:val="636"/>
        </w:trPr>
        <w:tc>
          <w:tcPr>
            <w:tcW w:w="1980" w:type="dxa"/>
            <w:gridSpan w:val="4"/>
            <w:tcBorders>
              <w:top w:val="single" w:sz="2" w:space="0" w:color="auto"/>
              <w:bottom w:val="single" w:sz="2" w:space="0" w:color="auto"/>
            </w:tcBorders>
            <w:shd w:val="clear" w:color="auto" w:fill="CCC0D9"/>
            <w:vAlign w:val="center"/>
          </w:tcPr>
          <w:p w14:paraId="6873D25C"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Kamienie milowe projektu</w:t>
            </w:r>
            <w:r w:rsidRPr="00200F48">
              <w:rPr>
                <w:rFonts w:ascii="Arial" w:hAnsi="Arial" w:cs="Arial"/>
                <w:sz w:val="24"/>
                <w:szCs w:val="24"/>
                <w:vertAlign w:val="superscript"/>
              </w:rPr>
              <w:footnoteReference w:id="10"/>
            </w:r>
          </w:p>
        </w:tc>
        <w:tc>
          <w:tcPr>
            <w:tcW w:w="7376" w:type="dxa"/>
            <w:gridSpan w:val="14"/>
            <w:tcBorders>
              <w:top w:val="single" w:sz="2" w:space="0" w:color="auto"/>
              <w:bottom w:val="single" w:sz="2" w:space="0" w:color="auto"/>
            </w:tcBorders>
          </w:tcPr>
          <w:p w14:paraId="3E5A0CA8"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1. Przeprowadzenie konsultacji z przedstawicielami kadr wymiaru sprawiedliwości oraz specjalistami z dziedziny prawa ochrony konsumenta i egzekucji sądowej (lipiec 2021 r. – wrzesień 2021 r.), szacunkowa wartość 1% kosztów ogółem;</w:t>
            </w:r>
          </w:p>
          <w:p w14:paraId="1FA45ED4"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2. Opracowanie dwóch programów szkoleń wraz z materiałami i obudową dydaktyczną przez ekspertów (sierpień 2021 r. – październik 2021 r.), szacunkowa wartość 4% kosztów ogółem;</w:t>
            </w:r>
          </w:p>
          <w:p w14:paraId="7FD69DAA"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 xml:space="preserve">3. Przeprowadzenie 20-godzinnych szkoleń </w:t>
            </w:r>
            <w:proofErr w:type="gramStart"/>
            <w:r w:rsidRPr="00200F48">
              <w:rPr>
                <w:rFonts w:ascii="Arial" w:hAnsi="Arial" w:cs="Arial"/>
                <w:sz w:val="24"/>
                <w:szCs w:val="24"/>
              </w:rPr>
              <w:t>dla  32 grup</w:t>
            </w:r>
            <w:proofErr w:type="gramEnd"/>
            <w:r w:rsidRPr="00200F48">
              <w:rPr>
                <w:rFonts w:ascii="Arial" w:hAnsi="Arial" w:cs="Arial"/>
                <w:sz w:val="24"/>
                <w:szCs w:val="24"/>
              </w:rPr>
              <w:t xml:space="preserve"> (śr. 25-</w:t>
            </w:r>
            <w:proofErr w:type="gramStart"/>
            <w:r w:rsidRPr="00200F48">
              <w:rPr>
                <w:rFonts w:ascii="Arial" w:hAnsi="Arial" w:cs="Arial"/>
                <w:sz w:val="24"/>
                <w:szCs w:val="24"/>
              </w:rPr>
              <w:t>osobowych</w:t>
            </w:r>
            <w:proofErr w:type="gramEnd"/>
            <w:r w:rsidRPr="00200F48">
              <w:rPr>
                <w:rFonts w:ascii="Arial" w:hAnsi="Arial" w:cs="Arial"/>
                <w:sz w:val="24"/>
                <w:szCs w:val="24"/>
              </w:rPr>
              <w:t>) (listopad 2021 r. – luty 2023 r.) szacunkowa wartość 80% kosztów ogółem;</w:t>
            </w:r>
          </w:p>
          <w:p w14:paraId="676B7ADE"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4. Opracowanie dodatkowych materiałów do wykorzystania w bieżącej pracy zawodowej – dwóch szkoleń e-learningowych (sierpień 2022 r. - marzec 2023 r.) szacunkowa wartość 15% kosztów ogółem;</w:t>
            </w:r>
          </w:p>
        </w:tc>
      </w:tr>
      <w:tr w:rsidR="00200F48" w:rsidRPr="00200F48" w14:paraId="04C17839" w14:textId="77777777" w:rsidTr="00B81D3B">
        <w:trPr>
          <w:trHeight w:val="636"/>
        </w:trPr>
        <w:tc>
          <w:tcPr>
            <w:tcW w:w="1980" w:type="dxa"/>
            <w:gridSpan w:val="4"/>
            <w:tcBorders>
              <w:top w:val="single" w:sz="2" w:space="0" w:color="auto"/>
              <w:bottom w:val="single" w:sz="2" w:space="0" w:color="auto"/>
            </w:tcBorders>
            <w:shd w:val="clear" w:color="auto" w:fill="CCC0D9"/>
            <w:vAlign w:val="center"/>
          </w:tcPr>
          <w:p w14:paraId="66C631B3"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Podmiot zgłaszający projekt</w:t>
            </w:r>
            <w:r w:rsidRPr="00200F48">
              <w:rPr>
                <w:rFonts w:ascii="Arial" w:hAnsi="Arial" w:cs="Arial"/>
                <w:sz w:val="24"/>
                <w:szCs w:val="24"/>
                <w:vertAlign w:val="superscript"/>
              </w:rPr>
              <w:footnoteReference w:id="11"/>
            </w:r>
          </w:p>
        </w:tc>
        <w:tc>
          <w:tcPr>
            <w:tcW w:w="7376" w:type="dxa"/>
            <w:gridSpan w:val="14"/>
            <w:tcBorders>
              <w:top w:val="single" w:sz="2" w:space="0" w:color="auto"/>
              <w:bottom w:val="single" w:sz="2" w:space="0" w:color="auto"/>
            </w:tcBorders>
          </w:tcPr>
          <w:p w14:paraId="5C6D8E65" w14:textId="77777777" w:rsidR="00200F48" w:rsidRPr="00200F48" w:rsidRDefault="00200F48" w:rsidP="00200F48">
            <w:pPr>
              <w:spacing w:before="120" w:after="120" w:line="360" w:lineRule="auto"/>
              <w:rPr>
                <w:rFonts w:ascii="Arial" w:hAnsi="Arial" w:cs="Arial"/>
                <w:sz w:val="24"/>
                <w:szCs w:val="24"/>
              </w:rPr>
            </w:pPr>
          </w:p>
          <w:p w14:paraId="71FCA7E2"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Instytucja Pośrednicząca - Ministerstwo Sprawiedliwości</w:t>
            </w:r>
          </w:p>
        </w:tc>
      </w:tr>
      <w:tr w:rsidR="00200F48" w:rsidRPr="00200F48" w14:paraId="72D2D5C8" w14:textId="77777777" w:rsidTr="00B81D3B">
        <w:trPr>
          <w:trHeight w:val="434"/>
        </w:trPr>
        <w:tc>
          <w:tcPr>
            <w:tcW w:w="1980" w:type="dxa"/>
            <w:gridSpan w:val="4"/>
            <w:tcBorders>
              <w:top w:val="single" w:sz="2" w:space="0" w:color="auto"/>
              <w:bottom w:val="single" w:sz="2" w:space="0" w:color="auto"/>
            </w:tcBorders>
            <w:shd w:val="clear" w:color="auto" w:fill="CCC0D9"/>
            <w:vAlign w:val="center"/>
          </w:tcPr>
          <w:p w14:paraId="0D2DE493"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Podmiot, który będzie wnioskodawcą</w:t>
            </w:r>
          </w:p>
        </w:tc>
        <w:tc>
          <w:tcPr>
            <w:tcW w:w="7376" w:type="dxa"/>
            <w:gridSpan w:val="14"/>
            <w:tcBorders>
              <w:top w:val="single" w:sz="2" w:space="0" w:color="auto"/>
              <w:bottom w:val="single" w:sz="2" w:space="0" w:color="auto"/>
            </w:tcBorders>
            <w:vAlign w:val="center"/>
          </w:tcPr>
          <w:p w14:paraId="34A681EB"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Krajowa Szkoła Sądownictwa i Prokuratury</w:t>
            </w:r>
          </w:p>
        </w:tc>
      </w:tr>
      <w:tr w:rsidR="00200F48" w:rsidRPr="00200F48" w14:paraId="3D4E407E" w14:textId="77777777" w:rsidTr="00B81D3B">
        <w:trPr>
          <w:trHeight w:val="434"/>
        </w:trPr>
        <w:tc>
          <w:tcPr>
            <w:tcW w:w="1980" w:type="dxa"/>
            <w:gridSpan w:val="4"/>
            <w:tcBorders>
              <w:top w:val="single" w:sz="2" w:space="0" w:color="auto"/>
              <w:bottom w:val="single" w:sz="2" w:space="0" w:color="auto"/>
            </w:tcBorders>
            <w:shd w:val="clear" w:color="auto" w:fill="CCC0D9"/>
            <w:vAlign w:val="center"/>
          </w:tcPr>
          <w:p w14:paraId="1D604974"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 xml:space="preserve">Uzasadnienie wyboru podmiotu, który </w:t>
            </w:r>
            <w:r w:rsidRPr="00200F48">
              <w:rPr>
                <w:rFonts w:ascii="Arial" w:hAnsi="Arial" w:cs="Arial"/>
                <w:sz w:val="24"/>
                <w:szCs w:val="24"/>
              </w:rPr>
              <w:lastRenderedPageBreak/>
              <w:t>będzie wnioskodawcą</w:t>
            </w:r>
            <w:r w:rsidRPr="00200F48">
              <w:rPr>
                <w:rFonts w:ascii="Arial" w:hAnsi="Arial" w:cs="Arial"/>
                <w:sz w:val="24"/>
                <w:szCs w:val="24"/>
                <w:vertAlign w:val="superscript"/>
              </w:rPr>
              <w:footnoteReference w:id="12"/>
            </w:r>
          </w:p>
        </w:tc>
        <w:tc>
          <w:tcPr>
            <w:tcW w:w="7376" w:type="dxa"/>
            <w:gridSpan w:val="14"/>
            <w:tcBorders>
              <w:top w:val="single" w:sz="2" w:space="0" w:color="auto"/>
              <w:bottom w:val="single" w:sz="2" w:space="0" w:color="auto"/>
            </w:tcBorders>
            <w:vAlign w:val="center"/>
          </w:tcPr>
          <w:p w14:paraId="11EE9AEB" w14:textId="77777777" w:rsidR="00200F48" w:rsidRPr="00200F48" w:rsidRDefault="00200F48" w:rsidP="00200F48">
            <w:pPr>
              <w:spacing w:before="120" w:after="120" w:line="360" w:lineRule="auto"/>
              <w:rPr>
                <w:rFonts w:ascii="Arial" w:hAnsi="Arial" w:cs="Arial"/>
                <w:sz w:val="24"/>
                <w:szCs w:val="24"/>
              </w:rPr>
            </w:pPr>
          </w:p>
          <w:p w14:paraId="09B9F08E"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sz w:val="24"/>
                <w:szCs w:val="24"/>
              </w:rPr>
              <w:t xml:space="preserve">Krajowa Szkoła Sądownictwa i Prokuratury jest jedyną centralną instytucją powołaną ustawowo do szkolenia i doskonalenia </w:t>
            </w:r>
            <w:r w:rsidRPr="00200F48">
              <w:rPr>
                <w:rFonts w:ascii="Arial" w:hAnsi="Arial" w:cs="Arial"/>
                <w:sz w:val="24"/>
                <w:szCs w:val="24"/>
              </w:rPr>
              <w:lastRenderedPageBreak/>
              <w:t xml:space="preserve">zawodowego kadr wymiaru sprawiedliwości w celu uzupełnienia ich specjalistycznej wiedzy i umiejętności zawodowych (ustawa z dnia 23 stycznia 2009 r. o Krajowej Szkole Sądownictwa i Prokuratury; tj. Dz.U. </w:t>
            </w:r>
            <w:proofErr w:type="gramStart"/>
            <w:r w:rsidRPr="00200F48">
              <w:rPr>
                <w:rFonts w:ascii="Arial" w:hAnsi="Arial" w:cs="Arial"/>
                <w:sz w:val="24"/>
                <w:szCs w:val="24"/>
              </w:rPr>
              <w:t>z</w:t>
            </w:r>
            <w:proofErr w:type="gramEnd"/>
            <w:r w:rsidRPr="00200F48">
              <w:rPr>
                <w:rFonts w:ascii="Arial" w:hAnsi="Arial" w:cs="Arial"/>
                <w:sz w:val="24"/>
                <w:szCs w:val="24"/>
              </w:rPr>
              <w:t xml:space="preserve"> 2019, poz. 1042 ze zm.).</w:t>
            </w:r>
          </w:p>
        </w:tc>
      </w:tr>
      <w:tr w:rsidR="00200F48" w:rsidRPr="00200F48" w14:paraId="4F3D3943" w14:textId="77777777" w:rsidTr="00B81D3B">
        <w:trPr>
          <w:trHeight w:val="434"/>
        </w:trPr>
        <w:tc>
          <w:tcPr>
            <w:tcW w:w="1980" w:type="dxa"/>
            <w:gridSpan w:val="4"/>
            <w:tcBorders>
              <w:top w:val="single" w:sz="2" w:space="0" w:color="auto"/>
              <w:bottom w:val="single" w:sz="2" w:space="0" w:color="auto"/>
            </w:tcBorders>
            <w:shd w:val="clear" w:color="auto" w:fill="CCC0D9"/>
            <w:vAlign w:val="center"/>
          </w:tcPr>
          <w:p w14:paraId="7E0CF17E"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lastRenderedPageBreak/>
              <w:t>Czy projekt będzie realizowany w partnerstwie?</w:t>
            </w:r>
          </w:p>
        </w:tc>
        <w:tc>
          <w:tcPr>
            <w:tcW w:w="1832" w:type="dxa"/>
            <w:gridSpan w:val="3"/>
            <w:tcBorders>
              <w:top w:val="single" w:sz="2" w:space="0" w:color="auto"/>
              <w:bottom w:val="single" w:sz="2" w:space="0" w:color="auto"/>
            </w:tcBorders>
            <w:shd w:val="clear" w:color="auto" w:fill="CCC0D9"/>
            <w:vAlign w:val="center"/>
          </w:tcPr>
          <w:p w14:paraId="5199792A"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TAK</w:t>
            </w:r>
          </w:p>
        </w:tc>
        <w:tc>
          <w:tcPr>
            <w:tcW w:w="1846" w:type="dxa"/>
            <w:gridSpan w:val="4"/>
            <w:tcBorders>
              <w:top w:val="single" w:sz="2" w:space="0" w:color="auto"/>
              <w:bottom w:val="single" w:sz="2" w:space="0" w:color="auto"/>
            </w:tcBorders>
            <w:vAlign w:val="center"/>
          </w:tcPr>
          <w:p w14:paraId="07CA2CFC" w14:textId="77777777" w:rsidR="00200F48" w:rsidRPr="00200F48" w:rsidRDefault="00200F48" w:rsidP="00200F48">
            <w:pPr>
              <w:spacing w:before="120" w:after="120" w:line="360" w:lineRule="auto"/>
              <w:rPr>
                <w:rFonts w:ascii="Arial" w:hAnsi="Arial" w:cs="Arial"/>
                <w:b/>
                <w:sz w:val="24"/>
                <w:szCs w:val="24"/>
              </w:rPr>
            </w:pPr>
          </w:p>
        </w:tc>
        <w:tc>
          <w:tcPr>
            <w:tcW w:w="1853" w:type="dxa"/>
            <w:gridSpan w:val="6"/>
            <w:tcBorders>
              <w:top w:val="single" w:sz="2" w:space="0" w:color="auto"/>
              <w:bottom w:val="single" w:sz="2" w:space="0" w:color="auto"/>
            </w:tcBorders>
            <w:shd w:val="clear" w:color="auto" w:fill="CCC0D9"/>
            <w:vAlign w:val="center"/>
          </w:tcPr>
          <w:p w14:paraId="722C6229"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NIE</w:t>
            </w:r>
          </w:p>
        </w:tc>
        <w:tc>
          <w:tcPr>
            <w:tcW w:w="1845" w:type="dxa"/>
            <w:tcBorders>
              <w:top w:val="single" w:sz="2" w:space="0" w:color="auto"/>
              <w:bottom w:val="single" w:sz="2" w:space="0" w:color="auto"/>
            </w:tcBorders>
            <w:vAlign w:val="center"/>
          </w:tcPr>
          <w:p w14:paraId="2BBEBBF4" w14:textId="77777777" w:rsidR="00200F48" w:rsidRPr="00200F48" w:rsidRDefault="00200F48" w:rsidP="00200F48">
            <w:pPr>
              <w:spacing w:before="120" w:after="120" w:line="360" w:lineRule="auto"/>
              <w:jc w:val="center"/>
              <w:rPr>
                <w:rFonts w:ascii="Arial" w:hAnsi="Arial" w:cs="Arial"/>
                <w:b/>
                <w:sz w:val="24"/>
                <w:szCs w:val="24"/>
              </w:rPr>
            </w:pPr>
            <w:r w:rsidRPr="00200F48">
              <w:rPr>
                <w:rFonts w:ascii="Arial" w:hAnsi="Arial" w:cs="Arial"/>
                <w:b/>
                <w:sz w:val="24"/>
                <w:szCs w:val="24"/>
              </w:rPr>
              <w:t>X</w:t>
            </w:r>
          </w:p>
        </w:tc>
      </w:tr>
      <w:tr w:rsidR="00200F48" w:rsidRPr="00200F48" w14:paraId="4A7A5BE3" w14:textId="77777777" w:rsidTr="00B81D3B">
        <w:trPr>
          <w:trHeight w:val="434"/>
        </w:trPr>
        <w:tc>
          <w:tcPr>
            <w:tcW w:w="1980" w:type="dxa"/>
            <w:gridSpan w:val="4"/>
            <w:tcBorders>
              <w:top w:val="single" w:sz="2" w:space="0" w:color="auto"/>
              <w:bottom w:val="single" w:sz="2" w:space="0" w:color="auto"/>
            </w:tcBorders>
            <w:shd w:val="clear" w:color="auto" w:fill="CCC0D9"/>
            <w:vAlign w:val="center"/>
          </w:tcPr>
          <w:p w14:paraId="7ACA8CF6"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 xml:space="preserve">Podmioty, które będą partnerami </w:t>
            </w:r>
            <w:r w:rsidRPr="00200F48">
              <w:rPr>
                <w:rFonts w:ascii="Arial" w:hAnsi="Arial" w:cs="Arial"/>
                <w:sz w:val="24"/>
                <w:szCs w:val="24"/>
              </w:rPr>
              <w:br/>
              <w:t xml:space="preserve">w projekcie </w:t>
            </w:r>
            <w:r w:rsidRPr="00200F48">
              <w:rPr>
                <w:rFonts w:ascii="Arial" w:hAnsi="Arial" w:cs="Arial"/>
                <w:sz w:val="24"/>
                <w:szCs w:val="24"/>
              </w:rPr>
              <w:br/>
              <w:t>i uzasadnienie ich wyboru</w:t>
            </w:r>
            <w:r w:rsidRPr="00200F48">
              <w:rPr>
                <w:rFonts w:ascii="Arial" w:hAnsi="Arial" w:cs="Arial"/>
                <w:sz w:val="24"/>
                <w:szCs w:val="24"/>
                <w:vertAlign w:val="superscript"/>
              </w:rPr>
              <w:footnoteReference w:id="13"/>
            </w:r>
          </w:p>
        </w:tc>
        <w:tc>
          <w:tcPr>
            <w:tcW w:w="7376" w:type="dxa"/>
            <w:gridSpan w:val="14"/>
            <w:tcBorders>
              <w:top w:val="single" w:sz="2" w:space="0" w:color="auto"/>
              <w:bottom w:val="single" w:sz="2" w:space="0" w:color="auto"/>
            </w:tcBorders>
            <w:shd w:val="clear" w:color="auto" w:fill="FFFFFF"/>
            <w:vAlign w:val="center"/>
          </w:tcPr>
          <w:p w14:paraId="478EC076"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Nie dotyczy</w:t>
            </w:r>
          </w:p>
        </w:tc>
      </w:tr>
      <w:tr w:rsidR="00200F48" w:rsidRPr="00200F48" w14:paraId="63A05976" w14:textId="77777777" w:rsidTr="00B81D3B">
        <w:trPr>
          <w:trHeight w:val="434"/>
        </w:trPr>
        <w:tc>
          <w:tcPr>
            <w:tcW w:w="1980" w:type="dxa"/>
            <w:gridSpan w:val="4"/>
            <w:tcBorders>
              <w:top w:val="single" w:sz="2" w:space="0" w:color="auto"/>
              <w:bottom w:val="single" w:sz="2" w:space="0" w:color="auto"/>
            </w:tcBorders>
            <w:shd w:val="clear" w:color="auto" w:fill="CCC0D9"/>
            <w:vAlign w:val="center"/>
          </w:tcPr>
          <w:p w14:paraId="5323F851"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Czy projekt będzie projektem grantowym?</w:t>
            </w:r>
          </w:p>
        </w:tc>
        <w:tc>
          <w:tcPr>
            <w:tcW w:w="1842" w:type="dxa"/>
            <w:gridSpan w:val="4"/>
            <w:tcBorders>
              <w:top w:val="single" w:sz="2" w:space="0" w:color="auto"/>
              <w:bottom w:val="single" w:sz="2" w:space="0" w:color="auto"/>
            </w:tcBorders>
            <w:shd w:val="clear" w:color="auto" w:fill="CCC0D9"/>
            <w:vAlign w:val="center"/>
          </w:tcPr>
          <w:p w14:paraId="25FA2800"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TAK</w:t>
            </w:r>
          </w:p>
        </w:tc>
        <w:tc>
          <w:tcPr>
            <w:tcW w:w="1843" w:type="dxa"/>
            <w:gridSpan w:val="4"/>
            <w:tcBorders>
              <w:top w:val="single" w:sz="2" w:space="0" w:color="auto"/>
              <w:bottom w:val="single" w:sz="2" w:space="0" w:color="auto"/>
            </w:tcBorders>
            <w:shd w:val="clear" w:color="auto" w:fill="FFFFFF"/>
            <w:vAlign w:val="center"/>
          </w:tcPr>
          <w:p w14:paraId="08DD430C" w14:textId="77777777" w:rsidR="00200F48" w:rsidRPr="00200F48" w:rsidRDefault="00200F48" w:rsidP="00200F48">
            <w:pPr>
              <w:spacing w:before="120" w:after="120" w:line="360" w:lineRule="auto"/>
              <w:rPr>
                <w:rFonts w:ascii="Arial" w:hAnsi="Arial" w:cs="Arial"/>
                <w:b/>
                <w:sz w:val="24"/>
                <w:szCs w:val="24"/>
              </w:rPr>
            </w:pPr>
          </w:p>
        </w:tc>
        <w:tc>
          <w:tcPr>
            <w:tcW w:w="1846" w:type="dxa"/>
            <w:gridSpan w:val="5"/>
            <w:tcBorders>
              <w:top w:val="single" w:sz="2" w:space="0" w:color="auto"/>
              <w:bottom w:val="single" w:sz="2" w:space="0" w:color="auto"/>
            </w:tcBorders>
            <w:shd w:val="clear" w:color="auto" w:fill="CCC0D9"/>
            <w:vAlign w:val="center"/>
          </w:tcPr>
          <w:p w14:paraId="2B61DBEF"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NIE</w:t>
            </w:r>
          </w:p>
        </w:tc>
        <w:tc>
          <w:tcPr>
            <w:tcW w:w="1845" w:type="dxa"/>
            <w:tcBorders>
              <w:top w:val="single" w:sz="2" w:space="0" w:color="auto"/>
              <w:bottom w:val="single" w:sz="2" w:space="0" w:color="auto"/>
            </w:tcBorders>
            <w:shd w:val="clear" w:color="auto" w:fill="FFFFFF"/>
            <w:vAlign w:val="center"/>
          </w:tcPr>
          <w:p w14:paraId="643F189E" w14:textId="77777777" w:rsidR="00200F48" w:rsidRPr="00200F48" w:rsidRDefault="00200F48" w:rsidP="00200F48">
            <w:pPr>
              <w:spacing w:before="120" w:after="120" w:line="360" w:lineRule="auto"/>
              <w:jc w:val="center"/>
              <w:rPr>
                <w:rFonts w:ascii="Arial" w:hAnsi="Arial" w:cs="Arial"/>
                <w:b/>
                <w:sz w:val="24"/>
                <w:szCs w:val="24"/>
              </w:rPr>
            </w:pPr>
            <w:r w:rsidRPr="00200F48">
              <w:rPr>
                <w:rFonts w:ascii="Arial" w:hAnsi="Arial" w:cs="Arial"/>
                <w:b/>
                <w:sz w:val="24"/>
                <w:szCs w:val="24"/>
              </w:rPr>
              <w:t>X</w:t>
            </w:r>
          </w:p>
        </w:tc>
      </w:tr>
      <w:tr w:rsidR="00200F48" w:rsidRPr="00200F48" w14:paraId="7752C6C2" w14:textId="77777777" w:rsidTr="00B81D3B">
        <w:trPr>
          <w:trHeight w:val="434"/>
        </w:trPr>
        <w:tc>
          <w:tcPr>
            <w:tcW w:w="1980" w:type="dxa"/>
            <w:gridSpan w:val="4"/>
            <w:tcBorders>
              <w:top w:val="single" w:sz="2" w:space="0" w:color="auto"/>
              <w:bottom w:val="single" w:sz="2" w:space="0" w:color="auto"/>
            </w:tcBorders>
            <w:shd w:val="clear" w:color="auto" w:fill="CCC0D9"/>
            <w:vAlign w:val="center"/>
          </w:tcPr>
          <w:p w14:paraId="1994EB92"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 xml:space="preserve">Przewidywany termin </w:t>
            </w:r>
            <w:r w:rsidRPr="00200F48">
              <w:rPr>
                <w:rFonts w:ascii="Arial" w:hAnsi="Arial" w:cs="Arial"/>
                <w:sz w:val="24"/>
                <w:szCs w:val="24"/>
              </w:rPr>
              <w:br/>
              <w:t xml:space="preserve">złożenia wniosku </w:t>
            </w:r>
            <w:r w:rsidRPr="00200F48">
              <w:rPr>
                <w:rFonts w:ascii="Arial" w:hAnsi="Arial" w:cs="Arial"/>
                <w:sz w:val="24"/>
                <w:szCs w:val="24"/>
              </w:rPr>
              <w:br/>
              <w:t>o dofinansowanie</w:t>
            </w:r>
            <w:r w:rsidRPr="00200F48">
              <w:rPr>
                <w:rFonts w:ascii="Arial" w:hAnsi="Arial" w:cs="Arial"/>
                <w:sz w:val="24"/>
                <w:szCs w:val="24"/>
              </w:rPr>
              <w:br/>
              <w:t>(kwartał albo miesiąc oraz rok)</w:t>
            </w:r>
          </w:p>
        </w:tc>
        <w:tc>
          <w:tcPr>
            <w:tcW w:w="7376" w:type="dxa"/>
            <w:gridSpan w:val="14"/>
            <w:tcBorders>
              <w:top w:val="single" w:sz="2" w:space="0" w:color="auto"/>
              <w:bottom w:val="single" w:sz="2" w:space="0" w:color="auto"/>
            </w:tcBorders>
            <w:vAlign w:val="center"/>
          </w:tcPr>
          <w:p w14:paraId="011E0281"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IV kwartał 2020</w:t>
            </w:r>
          </w:p>
        </w:tc>
      </w:tr>
      <w:tr w:rsidR="00200F48" w:rsidRPr="00200F48" w14:paraId="3D2C620D" w14:textId="77777777" w:rsidTr="00B81D3B">
        <w:trPr>
          <w:trHeight w:val="469"/>
        </w:trPr>
        <w:tc>
          <w:tcPr>
            <w:tcW w:w="1980" w:type="dxa"/>
            <w:gridSpan w:val="4"/>
            <w:tcBorders>
              <w:top w:val="single" w:sz="2" w:space="0" w:color="auto"/>
              <w:bottom w:val="single" w:sz="12" w:space="0" w:color="auto"/>
            </w:tcBorders>
            <w:shd w:val="clear" w:color="auto" w:fill="CCC0D9"/>
            <w:vAlign w:val="center"/>
          </w:tcPr>
          <w:p w14:paraId="3D9FEDA6"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 xml:space="preserve">Przewidywany </w:t>
            </w:r>
            <w:r w:rsidRPr="00200F48">
              <w:rPr>
                <w:rFonts w:ascii="Arial" w:hAnsi="Arial" w:cs="Arial"/>
                <w:sz w:val="24"/>
                <w:szCs w:val="24"/>
              </w:rPr>
              <w:lastRenderedPageBreak/>
              <w:t xml:space="preserve">okres realizacji projektu </w:t>
            </w:r>
          </w:p>
        </w:tc>
        <w:tc>
          <w:tcPr>
            <w:tcW w:w="1832" w:type="dxa"/>
            <w:gridSpan w:val="3"/>
            <w:tcBorders>
              <w:top w:val="single" w:sz="2" w:space="0" w:color="auto"/>
              <w:bottom w:val="single" w:sz="12" w:space="0" w:color="auto"/>
            </w:tcBorders>
            <w:shd w:val="clear" w:color="auto" w:fill="CCC0D9"/>
            <w:vAlign w:val="center"/>
          </w:tcPr>
          <w:p w14:paraId="3B6CD159"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lastRenderedPageBreak/>
              <w:t xml:space="preserve">Data </w:t>
            </w:r>
            <w:r w:rsidRPr="00200F48">
              <w:rPr>
                <w:rFonts w:ascii="Arial" w:hAnsi="Arial" w:cs="Arial"/>
                <w:sz w:val="24"/>
                <w:szCs w:val="24"/>
              </w:rPr>
              <w:lastRenderedPageBreak/>
              <w:t>rozpoczęcia (miesiąc oraz rok)</w:t>
            </w:r>
          </w:p>
        </w:tc>
        <w:tc>
          <w:tcPr>
            <w:tcW w:w="1846" w:type="dxa"/>
            <w:gridSpan w:val="4"/>
            <w:tcBorders>
              <w:top w:val="single" w:sz="2" w:space="0" w:color="auto"/>
              <w:bottom w:val="single" w:sz="12" w:space="0" w:color="auto"/>
            </w:tcBorders>
            <w:vAlign w:val="center"/>
          </w:tcPr>
          <w:p w14:paraId="58A80737"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lastRenderedPageBreak/>
              <w:t>07.2021</w:t>
            </w:r>
          </w:p>
        </w:tc>
        <w:tc>
          <w:tcPr>
            <w:tcW w:w="1853" w:type="dxa"/>
            <w:gridSpan w:val="6"/>
            <w:tcBorders>
              <w:top w:val="single" w:sz="2" w:space="0" w:color="auto"/>
              <w:bottom w:val="single" w:sz="12" w:space="0" w:color="auto"/>
            </w:tcBorders>
            <w:shd w:val="clear" w:color="auto" w:fill="CCC0D9"/>
            <w:vAlign w:val="center"/>
          </w:tcPr>
          <w:p w14:paraId="4129B88D"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 xml:space="preserve">Data </w:t>
            </w:r>
            <w:r w:rsidRPr="00200F48">
              <w:rPr>
                <w:rFonts w:ascii="Arial" w:hAnsi="Arial" w:cs="Arial"/>
                <w:sz w:val="24"/>
                <w:szCs w:val="24"/>
              </w:rPr>
              <w:lastRenderedPageBreak/>
              <w:t>zakończenia (miesiąc oraz rok)</w:t>
            </w:r>
          </w:p>
        </w:tc>
        <w:tc>
          <w:tcPr>
            <w:tcW w:w="1845" w:type="dxa"/>
            <w:tcBorders>
              <w:top w:val="single" w:sz="2" w:space="0" w:color="auto"/>
              <w:bottom w:val="single" w:sz="12" w:space="0" w:color="auto"/>
            </w:tcBorders>
            <w:vAlign w:val="center"/>
          </w:tcPr>
          <w:p w14:paraId="7899BE74"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lastRenderedPageBreak/>
              <w:t>03.2023</w:t>
            </w:r>
          </w:p>
        </w:tc>
      </w:tr>
      <w:tr w:rsidR="00200F48" w:rsidRPr="00200F48" w14:paraId="094B9307" w14:textId="77777777" w:rsidTr="00B81D3B">
        <w:trPr>
          <w:trHeight w:val="567"/>
        </w:trPr>
        <w:tc>
          <w:tcPr>
            <w:tcW w:w="9356" w:type="dxa"/>
            <w:gridSpan w:val="18"/>
            <w:tcBorders>
              <w:top w:val="single" w:sz="12" w:space="0" w:color="auto"/>
              <w:bottom w:val="single" w:sz="12" w:space="0" w:color="auto"/>
            </w:tcBorders>
            <w:shd w:val="clear" w:color="auto" w:fill="CCC0D9"/>
            <w:vAlign w:val="center"/>
          </w:tcPr>
          <w:p w14:paraId="6ABA5494"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lastRenderedPageBreak/>
              <w:t>SZACOWANY BUDŻET PROJEKTU</w:t>
            </w:r>
          </w:p>
        </w:tc>
      </w:tr>
      <w:tr w:rsidR="00200F48" w:rsidRPr="00200F48" w14:paraId="3D168BC0" w14:textId="77777777" w:rsidTr="00B81D3B">
        <w:trPr>
          <w:trHeight w:val="567"/>
        </w:trPr>
        <w:tc>
          <w:tcPr>
            <w:tcW w:w="9356" w:type="dxa"/>
            <w:gridSpan w:val="18"/>
            <w:tcBorders>
              <w:top w:val="single" w:sz="12" w:space="0" w:color="auto"/>
              <w:bottom w:val="single" w:sz="2" w:space="0" w:color="auto"/>
            </w:tcBorders>
            <w:shd w:val="clear" w:color="auto" w:fill="CCC0D9"/>
            <w:vAlign w:val="center"/>
          </w:tcPr>
          <w:p w14:paraId="33541E2E"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Szacowana kwota wydatków w projekcie w podziale na lata i ogółem (PLN)</w:t>
            </w:r>
          </w:p>
        </w:tc>
      </w:tr>
      <w:tr w:rsidR="00200F48" w:rsidRPr="00200F48" w14:paraId="2C6EA0C8" w14:textId="77777777" w:rsidTr="00B81D3B">
        <w:trPr>
          <w:trHeight w:val="567"/>
        </w:trPr>
        <w:tc>
          <w:tcPr>
            <w:tcW w:w="1843" w:type="dxa"/>
            <w:gridSpan w:val="3"/>
            <w:tcBorders>
              <w:top w:val="single" w:sz="2" w:space="0" w:color="auto"/>
              <w:bottom w:val="single" w:sz="2" w:space="0" w:color="auto"/>
            </w:tcBorders>
            <w:shd w:val="clear" w:color="auto" w:fill="CCC0D9"/>
            <w:vAlign w:val="center"/>
          </w:tcPr>
          <w:p w14:paraId="24FC11B4" w14:textId="77777777" w:rsidR="00200F48" w:rsidRPr="00200F48" w:rsidRDefault="00200F48" w:rsidP="00200F48">
            <w:pPr>
              <w:spacing w:before="120" w:after="120" w:line="360" w:lineRule="auto"/>
              <w:rPr>
                <w:rFonts w:ascii="Arial" w:hAnsi="Arial" w:cs="Arial"/>
                <w:sz w:val="24"/>
                <w:szCs w:val="24"/>
              </w:rPr>
            </w:pPr>
            <w:proofErr w:type="gramStart"/>
            <w:r w:rsidRPr="00200F48">
              <w:rPr>
                <w:rFonts w:ascii="Arial" w:hAnsi="Arial" w:cs="Arial"/>
                <w:sz w:val="24"/>
                <w:szCs w:val="24"/>
              </w:rPr>
              <w:t>w</w:t>
            </w:r>
            <w:proofErr w:type="gramEnd"/>
            <w:r w:rsidRPr="00200F48">
              <w:rPr>
                <w:rFonts w:ascii="Arial" w:hAnsi="Arial" w:cs="Arial"/>
                <w:sz w:val="24"/>
                <w:szCs w:val="24"/>
              </w:rPr>
              <w:t xml:space="preserve"> roku 2020</w:t>
            </w:r>
          </w:p>
        </w:tc>
        <w:tc>
          <w:tcPr>
            <w:tcW w:w="1560" w:type="dxa"/>
            <w:gridSpan w:val="3"/>
            <w:tcBorders>
              <w:top w:val="single" w:sz="2" w:space="0" w:color="auto"/>
              <w:bottom w:val="single" w:sz="2" w:space="0" w:color="auto"/>
            </w:tcBorders>
            <w:shd w:val="clear" w:color="auto" w:fill="CCC0D9"/>
            <w:vAlign w:val="center"/>
          </w:tcPr>
          <w:p w14:paraId="753FEEC5" w14:textId="77777777" w:rsidR="00200F48" w:rsidRPr="00200F48" w:rsidRDefault="00200F48" w:rsidP="00200F48">
            <w:pPr>
              <w:spacing w:before="120" w:after="120" w:line="360" w:lineRule="auto"/>
              <w:rPr>
                <w:rFonts w:ascii="Arial" w:hAnsi="Arial" w:cs="Arial"/>
                <w:sz w:val="24"/>
                <w:szCs w:val="24"/>
              </w:rPr>
            </w:pPr>
            <w:proofErr w:type="gramStart"/>
            <w:r w:rsidRPr="00200F48">
              <w:rPr>
                <w:rFonts w:ascii="Arial" w:hAnsi="Arial" w:cs="Arial"/>
                <w:sz w:val="24"/>
                <w:szCs w:val="24"/>
              </w:rPr>
              <w:t>w</w:t>
            </w:r>
            <w:proofErr w:type="gramEnd"/>
            <w:r w:rsidRPr="00200F48">
              <w:rPr>
                <w:rFonts w:ascii="Arial" w:hAnsi="Arial" w:cs="Arial"/>
                <w:sz w:val="24"/>
                <w:szCs w:val="24"/>
              </w:rPr>
              <w:t xml:space="preserve"> roku 2021</w:t>
            </w:r>
          </w:p>
        </w:tc>
        <w:tc>
          <w:tcPr>
            <w:tcW w:w="1842" w:type="dxa"/>
            <w:gridSpan w:val="4"/>
            <w:tcBorders>
              <w:top w:val="single" w:sz="2" w:space="0" w:color="auto"/>
              <w:bottom w:val="single" w:sz="2" w:space="0" w:color="auto"/>
            </w:tcBorders>
            <w:shd w:val="clear" w:color="auto" w:fill="CCC0D9"/>
            <w:vAlign w:val="center"/>
          </w:tcPr>
          <w:p w14:paraId="30B7E73D" w14:textId="77777777" w:rsidR="00200F48" w:rsidRPr="00200F48" w:rsidRDefault="00200F48" w:rsidP="00200F48">
            <w:pPr>
              <w:spacing w:before="120" w:after="120" w:line="360" w:lineRule="auto"/>
              <w:rPr>
                <w:rFonts w:ascii="Arial" w:hAnsi="Arial" w:cs="Arial"/>
                <w:sz w:val="24"/>
                <w:szCs w:val="24"/>
              </w:rPr>
            </w:pPr>
            <w:proofErr w:type="gramStart"/>
            <w:r w:rsidRPr="00200F48">
              <w:rPr>
                <w:rFonts w:ascii="Arial" w:hAnsi="Arial" w:cs="Arial"/>
                <w:sz w:val="24"/>
                <w:szCs w:val="24"/>
              </w:rPr>
              <w:t>w</w:t>
            </w:r>
            <w:proofErr w:type="gramEnd"/>
            <w:r w:rsidRPr="00200F48">
              <w:rPr>
                <w:rFonts w:ascii="Arial" w:hAnsi="Arial" w:cs="Arial"/>
                <w:sz w:val="24"/>
                <w:szCs w:val="24"/>
              </w:rPr>
              <w:t xml:space="preserve"> roku 2022</w:t>
            </w:r>
          </w:p>
        </w:tc>
        <w:tc>
          <w:tcPr>
            <w:tcW w:w="1843" w:type="dxa"/>
            <w:gridSpan w:val="5"/>
            <w:tcBorders>
              <w:top w:val="single" w:sz="2" w:space="0" w:color="auto"/>
              <w:bottom w:val="single" w:sz="2" w:space="0" w:color="auto"/>
            </w:tcBorders>
            <w:shd w:val="clear" w:color="auto" w:fill="CCC0D9"/>
            <w:vAlign w:val="center"/>
          </w:tcPr>
          <w:p w14:paraId="1A2EE9C0" w14:textId="77777777" w:rsidR="00200F48" w:rsidRPr="00200F48" w:rsidRDefault="00200F48" w:rsidP="00200F48">
            <w:pPr>
              <w:spacing w:before="120" w:after="120" w:line="360" w:lineRule="auto"/>
              <w:rPr>
                <w:rFonts w:ascii="Arial" w:hAnsi="Arial" w:cs="Arial"/>
                <w:sz w:val="24"/>
                <w:szCs w:val="24"/>
              </w:rPr>
            </w:pPr>
            <w:proofErr w:type="gramStart"/>
            <w:r w:rsidRPr="00200F48">
              <w:rPr>
                <w:rFonts w:ascii="Arial" w:hAnsi="Arial" w:cs="Arial"/>
                <w:sz w:val="24"/>
                <w:szCs w:val="24"/>
              </w:rPr>
              <w:t>w</w:t>
            </w:r>
            <w:proofErr w:type="gramEnd"/>
            <w:r w:rsidRPr="00200F48">
              <w:rPr>
                <w:rFonts w:ascii="Arial" w:hAnsi="Arial" w:cs="Arial"/>
                <w:sz w:val="24"/>
                <w:szCs w:val="24"/>
              </w:rPr>
              <w:t xml:space="preserve"> roku 2023</w:t>
            </w:r>
          </w:p>
        </w:tc>
        <w:tc>
          <w:tcPr>
            <w:tcW w:w="2268" w:type="dxa"/>
            <w:gridSpan w:val="3"/>
            <w:tcBorders>
              <w:top w:val="single" w:sz="2" w:space="0" w:color="auto"/>
              <w:bottom w:val="single" w:sz="2" w:space="0" w:color="auto"/>
            </w:tcBorders>
            <w:shd w:val="clear" w:color="auto" w:fill="CCC0D9"/>
            <w:vAlign w:val="center"/>
          </w:tcPr>
          <w:p w14:paraId="14CA3562" w14:textId="77777777" w:rsidR="00200F48" w:rsidRPr="00200F48" w:rsidRDefault="00200F48" w:rsidP="00200F48">
            <w:pPr>
              <w:spacing w:before="120" w:after="120" w:line="360" w:lineRule="auto"/>
              <w:rPr>
                <w:rFonts w:ascii="Arial" w:hAnsi="Arial" w:cs="Arial"/>
                <w:sz w:val="24"/>
                <w:szCs w:val="24"/>
              </w:rPr>
            </w:pPr>
            <w:proofErr w:type="gramStart"/>
            <w:r w:rsidRPr="00200F48">
              <w:rPr>
                <w:rFonts w:ascii="Arial" w:hAnsi="Arial" w:cs="Arial"/>
                <w:sz w:val="24"/>
                <w:szCs w:val="24"/>
              </w:rPr>
              <w:t>ogółem</w:t>
            </w:r>
            <w:proofErr w:type="gramEnd"/>
          </w:p>
        </w:tc>
      </w:tr>
      <w:tr w:rsidR="00200F48" w:rsidRPr="00200F48" w14:paraId="6EC44766" w14:textId="77777777" w:rsidTr="00B81D3B">
        <w:trPr>
          <w:trHeight w:val="567"/>
        </w:trPr>
        <w:tc>
          <w:tcPr>
            <w:tcW w:w="1843" w:type="dxa"/>
            <w:gridSpan w:val="3"/>
            <w:tcBorders>
              <w:top w:val="single" w:sz="2" w:space="0" w:color="auto"/>
              <w:bottom w:val="single" w:sz="2" w:space="0" w:color="auto"/>
            </w:tcBorders>
            <w:shd w:val="clear" w:color="auto" w:fill="FFFFFF"/>
            <w:vAlign w:val="center"/>
          </w:tcPr>
          <w:p w14:paraId="2B1AEAA1"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0</w:t>
            </w:r>
          </w:p>
        </w:tc>
        <w:tc>
          <w:tcPr>
            <w:tcW w:w="1560" w:type="dxa"/>
            <w:gridSpan w:val="3"/>
            <w:tcBorders>
              <w:top w:val="single" w:sz="2" w:space="0" w:color="auto"/>
              <w:bottom w:val="single" w:sz="2" w:space="0" w:color="auto"/>
            </w:tcBorders>
            <w:shd w:val="clear" w:color="auto" w:fill="FFFFFF"/>
            <w:vAlign w:val="center"/>
          </w:tcPr>
          <w:p w14:paraId="42A7F163"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350.000</w:t>
            </w:r>
          </w:p>
        </w:tc>
        <w:tc>
          <w:tcPr>
            <w:tcW w:w="1842" w:type="dxa"/>
            <w:gridSpan w:val="4"/>
            <w:tcBorders>
              <w:top w:val="single" w:sz="2" w:space="0" w:color="auto"/>
              <w:bottom w:val="single" w:sz="2" w:space="0" w:color="auto"/>
            </w:tcBorders>
            <w:shd w:val="clear" w:color="auto" w:fill="FFFFFF"/>
            <w:vAlign w:val="center"/>
          </w:tcPr>
          <w:p w14:paraId="3FE44712"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1.400.000</w:t>
            </w:r>
          </w:p>
        </w:tc>
        <w:tc>
          <w:tcPr>
            <w:tcW w:w="1843" w:type="dxa"/>
            <w:gridSpan w:val="5"/>
            <w:tcBorders>
              <w:top w:val="single" w:sz="2" w:space="0" w:color="auto"/>
              <w:bottom w:val="single" w:sz="2" w:space="0" w:color="auto"/>
            </w:tcBorders>
            <w:shd w:val="clear" w:color="auto" w:fill="FFFFFF"/>
            <w:vAlign w:val="center"/>
          </w:tcPr>
          <w:p w14:paraId="33874ACB"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250.000</w:t>
            </w:r>
          </w:p>
        </w:tc>
        <w:tc>
          <w:tcPr>
            <w:tcW w:w="2268" w:type="dxa"/>
            <w:gridSpan w:val="3"/>
            <w:tcBorders>
              <w:top w:val="single" w:sz="2" w:space="0" w:color="auto"/>
              <w:bottom w:val="single" w:sz="2" w:space="0" w:color="auto"/>
            </w:tcBorders>
            <w:shd w:val="clear" w:color="auto" w:fill="FFFFFF"/>
            <w:vAlign w:val="center"/>
          </w:tcPr>
          <w:p w14:paraId="684D0BA2"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2.000.000</w:t>
            </w:r>
          </w:p>
        </w:tc>
      </w:tr>
      <w:tr w:rsidR="00200F48" w:rsidRPr="00200F48" w14:paraId="010D55E7" w14:textId="77777777" w:rsidTr="00B81D3B">
        <w:trPr>
          <w:trHeight w:val="567"/>
        </w:trPr>
        <w:tc>
          <w:tcPr>
            <w:tcW w:w="9356" w:type="dxa"/>
            <w:gridSpan w:val="18"/>
            <w:tcBorders>
              <w:top w:val="single" w:sz="2" w:space="0" w:color="auto"/>
              <w:bottom w:val="single" w:sz="2" w:space="0" w:color="auto"/>
            </w:tcBorders>
            <w:shd w:val="clear" w:color="auto" w:fill="CCC0D9"/>
            <w:vAlign w:val="center"/>
          </w:tcPr>
          <w:p w14:paraId="7AF4166D"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Szacowany wkład własny beneficjenta (PLN)</w:t>
            </w:r>
          </w:p>
        </w:tc>
      </w:tr>
      <w:tr w:rsidR="00200F48" w:rsidRPr="00200F48" w14:paraId="6ABEF1B3" w14:textId="77777777" w:rsidTr="00B81D3B">
        <w:trPr>
          <w:trHeight w:val="567"/>
        </w:trPr>
        <w:tc>
          <w:tcPr>
            <w:tcW w:w="1132" w:type="dxa"/>
            <w:tcBorders>
              <w:top w:val="single" w:sz="2" w:space="0" w:color="auto"/>
              <w:bottom w:val="single" w:sz="2" w:space="0" w:color="auto"/>
            </w:tcBorders>
            <w:shd w:val="clear" w:color="auto" w:fill="CCC0D9"/>
            <w:vAlign w:val="center"/>
          </w:tcPr>
          <w:p w14:paraId="77A52D98"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TAK</w:t>
            </w:r>
            <w:r w:rsidRPr="00200F48" w:rsidDel="00053FC2">
              <w:rPr>
                <w:rFonts w:ascii="Arial" w:hAnsi="Arial" w:cs="Arial"/>
                <w:sz w:val="24"/>
                <w:szCs w:val="24"/>
              </w:rPr>
              <w:t xml:space="preserve"> </w:t>
            </w:r>
          </w:p>
        </w:tc>
        <w:tc>
          <w:tcPr>
            <w:tcW w:w="5099" w:type="dxa"/>
            <w:gridSpan w:val="13"/>
            <w:tcBorders>
              <w:top w:val="single" w:sz="2" w:space="0" w:color="auto"/>
              <w:bottom w:val="single" w:sz="2" w:space="0" w:color="auto"/>
            </w:tcBorders>
            <w:shd w:val="clear" w:color="auto" w:fill="FFFFFF"/>
            <w:vAlign w:val="center"/>
          </w:tcPr>
          <w:p w14:paraId="16D326A5"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 (PLN)</w:t>
            </w:r>
          </w:p>
        </w:tc>
        <w:tc>
          <w:tcPr>
            <w:tcW w:w="1135" w:type="dxa"/>
            <w:gridSpan w:val="2"/>
            <w:tcBorders>
              <w:top w:val="single" w:sz="2" w:space="0" w:color="auto"/>
              <w:bottom w:val="single" w:sz="2" w:space="0" w:color="auto"/>
            </w:tcBorders>
            <w:shd w:val="clear" w:color="auto" w:fill="CCC0D9"/>
            <w:vAlign w:val="center"/>
          </w:tcPr>
          <w:p w14:paraId="3D7E41B6"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NIE</w:t>
            </w:r>
          </w:p>
        </w:tc>
        <w:tc>
          <w:tcPr>
            <w:tcW w:w="1990" w:type="dxa"/>
            <w:gridSpan w:val="2"/>
            <w:tcBorders>
              <w:top w:val="single" w:sz="2" w:space="0" w:color="auto"/>
              <w:bottom w:val="single" w:sz="2" w:space="0" w:color="auto"/>
            </w:tcBorders>
            <w:shd w:val="clear" w:color="auto" w:fill="FFFFFF"/>
            <w:vAlign w:val="center"/>
          </w:tcPr>
          <w:p w14:paraId="2FABBEAE" w14:textId="77777777" w:rsidR="00200F48" w:rsidRPr="00200F48" w:rsidRDefault="00200F48" w:rsidP="00200F48">
            <w:pPr>
              <w:spacing w:before="120" w:after="120" w:line="360" w:lineRule="auto"/>
              <w:jc w:val="center"/>
              <w:rPr>
                <w:rFonts w:ascii="Arial" w:hAnsi="Arial" w:cs="Arial"/>
                <w:sz w:val="24"/>
                <w:szCs w:val="24"/>
              </w:rPr>
            </w:pPr>
            <w:r w:rsidRPr="00200F48">
              <w:rPr>
                <w:rFonts w:ascii="Arial" w:hAnsi="Arial" w:cs="Arial"/>
                <w:sz w:val="24"/>
                <w:szCs w:val="24"/>
              </w:rPr>
              <w:t>X</w:t>
            </w:r>
          </w:p>
        </w:tc>
      </w:tr>
      <w:tr w:rsidR="00200F48" w:rsidRPr="00200F48" w14:paraId="75F1890C" w14:textId="77777777" w:rsidTr="00B81D3B">
        <w:trPr>
          <w:trHeight w:val="567"/>
        </w:trPr>
        <w:tc>
          <w:tcPr>
            <w:tcW w:w="9356" w:type="dxa"/>
            <w:gridSpan w:val="18"/>
            <w:tcBorders>
              <w:top w:val="single" w:sz="2" w:space="0" w:color="auto"/>
              <w:bottom w:val="single" w:sz="2" w:space="0" w:color="auto"/>
            </w:tcBorders>
            <w:shd w:val="clear" w:color="auto" w:fill="CCC0D9"/>
            <w:vAlign w:val="center"/>
          </w:tcPr>
          <w:p w14:paraId="3A4B4DB9"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Szacowany wkład UE (PLN)</w:t>
            </w:r>
          </w:p>
        </w:tc>
      </w:tr>
      <w:tr w:rsidR="00200F48" w:rsidRPr="00200F48" w14:paraId="42D3D2D2" w14:textId="77777777" w:rsidTr="00B81D3B">
        <w:trPr>
          <w:trHeight w:val="567"/>
        </w:trPr>
        <w:tc>
          <w:tcPr>
            <w:tcW w:w="9356" w:type="dxa"/>
            <w:gridSpan w:val="18"/>
            <w:tcBorders>
              <w:top w:val="single" w:sz="2" w:space="0" w:color="auto"/>
              <w:bottom w:val="single" w:sz="12" w:space="0" w:color="auto"/>
            </w:tcBorders>
            <w:shd w:val="clear" w:color="auto" w:fill="FFFFFF"/>
            <w:vAlign w:val="center"/>
          </w:tcPr>
          <w:p w14:paraId="4E237F34"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1.685.600</w:t>
            </w:r>
          </w:p>
        </w:tc>
      </w:tr>
      <w:tr w:rsidR="00200F48" w:rsidRPr="00200F48" w14:paraId="14CBA585" w14:textId="77777777" w:rsidTr="00B81D3B">
        <w:trPr>
          <w:trHeight w:val="567"/>
        </w:trPr>
        <w:tc>
          <w:tcPr>
            <w:tcW w:w="9356" w:type="dxa"/>
            <w:gridSpan w:val="18"/>
            <w:tcBorders>
              <w:top w:val="single" w:sz="12" w:space="0" w:color="auto"/>
              <w:bottom w:val="single" w:sz="12" w:space="0" w:color="auto"/>
            </w:tcBorders>
            <w:shd w:val="clear" w:color="auto" w:fill="CCC0D9"/>
            <w:vAlign w:val="center"/>
          </w:tcPr>
          <w:p w14:paraId="534B8F77"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OPIS PROJEKTU</w:t>
            </w:r>
          </w:p>
        </w:tc>
      </w:tr>
      <w:tr w:rsidR="00200F48" w:rsidRPr="00200F48" w14:paraId="16731DFB" w14:textId="77777777" w:rsidTr="00B81D3B">
        <w:trPr>
          <w:trHeight w:val="567"/>
        </w:trPr>
        <w:tc>
          <w:tcPr>
            <w:tcW w:w="9356" w:type="dxa"/>
            <w:gridSpan w:val="18"/>
            <w:tcBorders>
              <w:top w:val="single" w:sz="12" w:space="0" w:color="auto"/>
              <w:bottom w:val="single" w:sz="4" w:space="0" w:color="auto"/>
            </w:tcBorders>
            <w:shd w:val="clear" w:color="auto" w:fill="CCC0D9"/>
            <w:vAlign w:val="center"/>
          </w:tcPr>
          <w:p w14:paraId="63999843"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Uzasadnienie realizacji projektu w trybie pozakonkursowym</w:t>
            </w:r>
            <w:r w:rsidRPr="00200F48">
              <w:rPr>
                <w:rFonts w:ascii="Arial" w:hAnsi="Arial" w:cs="Arial"/>
                <w:sz w:val="24"/>
                <w:szCs w:val="24"/>
                <w:vertAlign w:val="superscript"/>
              </w:rPr>
              <w:footnoteReference w:id="14"/>
            </w:r>
          </w:p>
        </w:tc>
      </w:tr>
      <w:tr w:rsidR="00200F48" w:rsidRPr="00200F48" w14:paraId="659CAB3E" w14:textId="77777777" w:rsidTr="00B81D3B">
        <w:trPr>
          <w:trHeight w:val="567"/>
        </w:trPr>
        <w:tc>
          <w:tcPr>
            <w:tcW w:w="9356" w:type="dxa"/>
            <w:gridSpan w:val="18"/>
            <w:tcBorders>
              <w:top w:val="single" w:sz="4" w:space="0" w:color="auto"/>
              <w:bottom w:val="single" w:sz="4" w:space="0" w:color="auto"/>
            </w:tcBorders>
            <w:shd w:val="clear" w:color="auto" w:fill="auto"/>
            <w:vAlign w:val="center"/>
          </w:tcPr>
          <w:p w14:paraId="5951DF47"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Zastosowanie trybu pozakonkursowego wynika ze strategicznego charakteru planowanego przedsięwzięcia. </w:t>
            </w:r>
          </w:p>
          <w:p w14:paraId="34EF905E"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Odnosząc się do przepisów ustawy z dnia 11 lipca 2014 r. o zasadach realizacji programów w zakresie polityki spójności finansowanych w perspektywie finansowej 2014-2020 (</w:t>
            </w:r>
            <w:proofErr w:type="spellStart"/>
            <w:r w:rsidRPr="00200F48">
              <w:rPr>
                <w:rFonts w:ascii="Arial" w:hAnsi="Arial" w:cs="Arial"/>
                <w:sz w:val="24"/>
                <w:szCs w:val="24"/>
              </w:rPr>
              <w:t>t.j</w:t>
            </w:r>
            <w:proofErr w:type="spellEnd"/>
            <w:r w:rsidRPr="00200F48">
              <w:rPr>
                <w:rFonts w:ascii="Arial" w:hAnsi="Arial" w:cs="Arial"/>
                <w:sz w:val="24"/>
                <w:szCs w:val="24"/>
              </w:rPr>
              <w:t xml:space="preserve">. Dz. U. </w:t>
            </w:r>
            <w:proofErr w:type="gramStart"/>
            <w:r w:rsidRPr="00200F48">
              <w:rPr>
                <w:rFonts w:ascii="Arial" w:hAnsi="Arial" w:cs="Arial"/>
                <w:sz w:val="24"/>
                <w:szCs w:val="24"/>
              </w:rPr>
              <w:t>z</w:t>
            </w:r>
            <w:proofErr w:type="gramEnd"/>
            <w:r w:rsidRPr="00200F48">
              <w:rPr>
                <w:rFonts w:ascii="Arial" w:hAnsi="Arial" w:cs="Arial"/>
                <w:sz w:val="24"/>
                <w:szCs w:val="24"/>
              </w:rPr>
              <w:t xml:space="preserve"> 2018 r., poz. 1431 ze zm.), należy stwierdzić, iż przedmiotowy projekt spełnia kryteria dot. realizacji w trybie pozakonkursowym określone w art. 38. Realizacja projektu przyczyni się do podniesienia specjalistycznej wiedzy z zakresu prawa ochrony konsumenta oraz egzekucji sądowej wśród kadr wymiaru sprawiedliwości poprzez opracowanie dedykowanych programów szkoleń wraz z obudową dydaktyczną, a także szkoleń e-</w:t>
            </w:r>
            <w:r w:rsidRPr="00200F48">
              <w:rPr>
                <w:rFonts w:ascii="Arial" w:hAnsi="Arial" w:cs="Arial"/>
                <w:sz w:val="24"/>
                <w:szCs w:val="24"/>
              </w:rPr>
              <w:lastRenderedPageBreak/>
              <w:t>learningowych oraz objęcie kompleksowym wsparciem szkoleniowym pracowników sądów powszechnych i jednostek prokuratur. Niniejszy projekt dotyczy systemowego podnoszenia wiedzy grup zawodowych kadr wymiaru sprawiedliwości - sędziów i </w:t>
            </w:r>
            <w:proofErr w:type="gramStart"/>
            <w:r w:rsidRPr="00200F48">
              <w:rPr>
                <w:rFonts w:ascii="Arial" w:hAnsi="Arial" w:cs="Arial"/>
                <w:sz w:val="24"/>
                <w:szCs w:val="24"/>
              </w:rPr>
              <w:t>asesorów</w:t>
            </w:r>
            <w:proofErr w:type="gramEnd"/>
            <w:r w:rsidRPr="00200F48">
              <w:rPr>
                <w:rFonts w:ascii="Arial" w:hAnsi="Arial" w:cs="Arial"/>
                <w:sz w:val="24"/>
                <w:szCs w:val="24"/>
              </w:rPr>
              <w:t xml:space="preserve"> sądowych, prokuratorów i asesorów prokuratury, referendarzy sądowych, asystentów sędziów i asystentów prokuratorów. Występowanie prawnego obowiązku realizacji ww. zadań wynika z przepisów prawa powszechnie obowiązującego (ustawa z dnia 23 stycznia 2009 r. o Krajowej Szkole Sądownictwa i Prokuratury, </w:t>
            </w:r>
            <w:proofErr w:type="spellStart"/>
            <w:r w:rsidRPr="00200F48">
              <w:rPr>
                <w:rFonts w:ascii="Arial" w:hAnsi="Arial" w:cs="Arial"/>
                <w:sz w:val="24"/>
                <w:szCs w:val="24"/>
              </w:rPr>
              <w:t>t.j</w:t>
            </w:r>
            <w:proofErr w:type="spellEnd"/>
            <w:r w:rsidRPr="00200F48">
              <w:rPr>
                <w:rFonts w:ascii="Arial" w:hAnsi="Arial" w:cs="Arial"/>
                <w:sz w:val="24"/>
                <w:szCs w:val="24"/>
              </w:rPr>
              <w:t xml:space="preserve">. Dz.U. 2019, </w:t>
            </w:r>
            <w:proofErr w:type="gramStart"/>
            <w:r w:rsidRPr="00200F48">
              <w:rPr>
                <w:rFonts w:ascii="Arial" w:hAnsi="Arial" w:cs="Arial"/>
                <w:sz w:val="24"/>
                <w:szCs w:val="24"/>
              </w:rPr>
              <w:t>poz</w:t>
            </w:r>
            <w:proofErr w:type="gramEnd"/>
            <w:r w:rsidRPr="00200F48">
              <w:rPr>
                <w:rFonts w:ascii="Arial" w:hAnsi="Arial" w:cs="Arial"/>
                <w:sz w:val="24"/>
                <w:szCs w:val="24"/>
              </w:rPr>
              <w:t>. 1042, art. 2 pkt 2 i 3).</w:t>
            </w:r>
          </w:p>
          <w:p w14:paraId="65823D5D"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Pierwszym z kluczowych obszarów wymagających podniesienia specjalistycznej wiedzy jest tematyka ochrony </w:t>
            </w:r>
            <w:proofErr w:type="gramStart"/>
            <w:r w:rsidRPr="00200F48">
              <w:rPr>
                <w:rFonts w:ascii="Arial" w:hAnsi="Arial" w:cs="Arial"/>
                <w:sz w:val="24"/>
                <w:szCs w:val="24"/>
              </w:rPr>
              <w:t>praw</w:t>
            </w:r>
            <w:proofErr w:type="gramEnd"/>
            <w:r w:rsidRPr="00200F48">
              <w:rPr>
                <w:rFonts w:ascii="Arial" w:hAnsi="Arial" w:cs="Arial"/>
                <w:sz w:val="24"/>
                <w:szCs w:val="24"/>
              </w:rPr>
              <w:t xml:space="preserve"> konsumenta. W tym zakresie należy podkreślić, że podstawowym celem ustawy o ochronie konkurencji i konsumentów (</w:t>
            </w:r>
            <w:proofErr w:type="spellStart"/>
            <w:r w:rsidRPr="00200F48">
              <w:rPr>
                <w:rFonts w:ascii="Arial" w:hAnsi="Arial" w:cs="Arial"/>
                <w:sz w:val="24"/>
                <w:szCs w:val="24"/>
              </w:rPr>
              <w:t>t.j</w:t>
            </w:r>
            <w:proofErr w:type="spellEnd"/>
            <w:r w:rsidRPr="00200F48">
              <w:rPr>
                <w:rFonts w:ascii="Arial" w:hAnsi="Arial" w:cs="Arial"/>
                <w:sz w:val="24"/>
                <w:szCs w:val="24"/>
              </w:rPr>
              <w:t xml:space="preserve">. Dz. U. </w:t>
            </w:r>
            <w:proofErr w:type="gramStart"/>
            <w:r w:rsidRPr="00200F48">
              <w:rPr>
                <w:rFonts w:ascii="Arial" w:hAnsi="Arial" w:cs="Arial"/>
                <w:sz w:val="24"/>
                <w:szCs w:val="24"/>
              </w:rPr>
              <w:t>z</w:t>
            </w:r>
            <w:proofErr w:type="gramEnd"/>
            <w:r w:rsidRPr="00200F48">
              <w:rPr>
                <w:rFonts w:ascii="Arial" w:hAnsi="Arial" w:cs="Arial"/>
                <w:sz w:val="24"/>
                <w:szCs w:val="24"/>
              </w:rPr>
              <w:t xml:space="preserve"> 2019 r. poz. 369, 1571, 1667) jest ochrona mechanizmu konkurencji, który stanowi źródło rozwoju i postępu oraz ma za zadanie podnosić efektywność działania gospodarki. Konkurencja jest </w:t>
            </w:r>
            <w:proofErr w:type="gramStart"/>
            <w:r w:rsidRPr="00200F48">
              <w:rPr>
                <w:rFonts w:ascii="Arial" w:hAnsi="Arial" w:cs="Arial"/>
                <w:sz w:val="24"/>
                <w:szCs w:val="24"/>
              </w:rPr>
              <w:t>rozumiana jako</w:t>
            </w:r>
            <w:proofErr w:type="gramEnd"/>
            <w:r w:rsidRPr="00200F48">
              <w:rPr>
                <w:rFonts w:ascii="Arial" w:hAnsi="Arial" w:cs="Arial"/>
                <w:sz w:val="24"/>
                <w:szCs w:val="24"/>
              </w:rPr>
              <w:t xml:space="preserve"> mechanizm rozdziału zasobów pomiędzy uczestnikami obrotu gospodarczego – przedsiębiorcami i konsumentami, a rolą państwa jest regulowanie wzajemnych stosunków i dbałość o interesy konsumentów. Ustawa reguluje również zasady i tryb przeciwdziałania praktykom ograniczającym konkurencję oraz praktykom naruszającym zbiorowe interesy konsumentów. </w:t>
            </w:r>
          </w:p>
          <w:p w14:paraId="5079031C"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Aktualnie jednym z najważniejszych wyzwań w obszarze regulacji stosunków pomiędzy konsumentami i przedsiębiorcami jest sytuacja kredytobiorców, którzy zawarli umowy kredytowe indeksowane do walut obcych lub denominowanych w walutach obcych. Tak zawarte przez konsumentów umowy kredytowe generują szereg poważnych wątpliwości jurydycznych, zarówno, co do ważności, jak i skuteczności poszczególnych postanowień umownych (por. Raport Rzecznika Finansowego „Analiza prawna wybranych postanowień umownych stosowanych przez banki w umowach kredytów indeksowanych do waluty obcej lub denominowanych w walucie obcej zawieranych z konsumentami”, Warszawa 2016.). Łączna wartość udzielonych przez banki kredytów mieszkaniowych w Polsce wynosi obecnie 449 862 mld zł., z czego 99 857 mld zł stanowią kredyty udzielone w CHF zaś 22 495 mld zł kredyty udzielone w innych walutach obcych (dane NBP, styczeń 2020 r</w:t>
            </w:r>
            <w:proofErr w:type="gramStart"/>
            <w:r w:rsidRPr="00200F48">
              <w:rPr>
                <w:rFonts w:ascii="Arial" w:hAnsi="Arial" w:cs="Arial"/>
                <w:sz w:val="24"/>
                <w:szCs w:val="24"/>
              </w:rPr>
              <w:t>.). Zawarcie</w:t>
            </w:r>
            <w:proofErr w:type="gramEnd"/>
            <w:r w:rsidRPr="00200F48">
              <w:rPr>
                <w:rFonts w:ascii="Arial" w:hAnsi="Arial" w:cs="Arial"/>
                <w:sz w:val="24"/>
                <w:szCs w:val="24"/>
              </w:rPr>
              <w:t xml:space="preserve"> umów kredytowych indeksowanych do </w:t>
            </w:r>
            <w:r w:rsidRPr="00200F48">
              <w:rPr>
                <w:rFonts w:ascii="Arial" w:hAnsi="Arial" w:cs="Arial"/>
                <w:sz w:val="24"/>
                <w:szCs w:val="24"/>
              </w:rPr>
              <w:lastRenderedPageBreak/>
              <w:t xml:space="preserve">walut obcych lub denominowanych w walutach obcych spowodowało, że kredytobiorcy – niektórzy nieświadomie – wzięli na siebie ryzyko nieograniczonych skutków osłabienia złotego do waluty kredytu. Deprecjacja złotego do walut obcych, jaka miała miejsce przed 2017 r. doprowadziła część kredytobiorców do sytuacji, w której wysokość zadłużenia wyrażona w złotych stała się wyższa od kwoty zaciągniętego kredytu, pomimo wielu lat spłaty zobowiązania. U znacznej grupy kredytobiorców przewyższała ona także wartość nieruchomości stanowiących zabezpieczenie spłaty kredytu. Uniemożliwiało to spłatę całości zadłużenia środkami uzyskanymi ze sprzedaży kredytowanych nieruchomości. Najwyższa Izba Kontroli oceniła negatywnie skuteczność systemu ochrony konsumentów wobec problemu kredytów objętych ryzykiem walutowym w latach, na które przypadła zasadnicza aktywność banków w udzielaniu tych kredytów, tj. 2005-2013. W ocenie Najwyższej Izby Kontroli skontrolowane podmioty administracji publicznej nie zapewniły właściwego egzekwowania </w:t>
            </w:r>
            <w:proofErr w:type="gramStart"/>
            <w:r w:rsidRPr="00200F48">
              <w:rPr>
                <w:rFonts w:ascii="Arial" w:hAnsi="Arial" w:cs="Arial"/>
                <w:sz w:val="24"/>
                <w:szCs w:val="24"/>
              </w:rPr>
              <w:t>praw</w:t>
            </w:r>
            <w:proofErr w:type="gramEnd"/>
            <w:r w:rsidRPr="00200F48">
              <w:rPr>
                <w:rFonts w:ascii="Arial" w:hAnsi="Arial" w:cs="Arial"/>
                <w:sz w:val="24"/>
                <w:szCs w:val="24"/>
              </w:rPr>
              <w:t xml:space="preserve"> kredytobiorców oraz zbyt późno lub w nieodpowiednim stopniu przeciwdziałały zagrożeniom, wynikającym z charakteru tych kredytów oraz z nieuczciwych praktyk banków (Raport z kontroli NIK, „Ochrona praw konsumentów korzystających z kredytów objętych ryzykiem walutowym”, Warszawa 2018 r.).</w:t>
            </w:r>
          </w:p>
          <w:p w14:paraId="4D791958"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W tej sytuacji ustawodawca podjął działania zmierzające do zmiany niekorzystnej sytuacji kredytobiorców. Z inicjatywy Prezydenta RP przyjęto w dniu 4 lipca 2019 r. ustawę o zmianie ustawy o wsparciu kredytobiorców znajdujących się w trudnej sytuacji finansowej, którzy zaciągnęli kredyt mieszkaniowy oraz niektórych innych ustaw, (</w:t>
            </w:r>
            <w:proofErr w:type="spellStart"/>
            <w:r w:rsidRPr="00200F48">
              <w:rPr>
                <w:rFonts w:ascii="Arial" w:hAnsi="Arial" w:cs="Arial"/>
                <w:sz w:val="24"/>
                <w:szCs w:val="24"/>
              </w:rPr>
              <w:t>t.j</w:t>
            </w:r>
            <w:proofErr w:type="spellEnd"/>
            <w:r w:rsidRPr="00200F48">
              <w:rPr>
                <w:rFonts w:ascii="Arial" w:hAnsi="Arial" w:cs="Arial"/>
                <w:sz w:val="24"/>
                <w:szCs w:val="24"/>
              </w:rPr>
              <w:t xml:space="preserve">. Dz. U. </w:t>
            </w:r>
            <w:proofErr w:type="gramStart"/>
            <w:r w:rsidRPr="00200F48">
              <w:rPr>
                <w:rFonts w:ascii="Arial" w:hAnsi="Arial" w:cs="Arial"/>
                <w:sz w:val="24"/>
                <w:szCs w:val="24"/>
              </w:rPr>
              <w:t>poz</w:t>
            </w:r>
            <w:proofErr w:type="gramEnd"/>
            <w:r w:rsidRPr="00200F48">
              <w:rPr>
                <w:rFonts w:ascii="Arial" w:hAnsi="Arial" w:cs="Arial"/>
                <w:sz w:val="24"/>
                <w:szCs w:val="24"/>
              </w:rPr>
              <w:t xml:space="preserve">. 1358), która ułatwia jedynie dostęp do pomocy finansowej z Funduszu Wsparcia Kredytobiorców. Wprowadzona regulacja nie rozwiązała jednak wszystkich problemów konsumentów w zakresie zawartych umów kredytowych. Brak szczególnej regulacji prawnej, stanowiącej odpowiedź na zaistniałą sytuację, zmusił wielu kredytobiorców do wystąpienia na drogę sądową i poszukiwania rozwiązań na drodze odpowiedniej interpretacji i zastosowania przez sądy już istniejących przepisów, w szczególności dotyczących niedozwolonych klauzul umownych. Szacuje się, że tylko w 2017 r. konsumenci skierowali do sądów niewiele ponad 3 tys. Tego rodzaju spraw, w 2018 r. było to już ponad 7,2 tys. spraw, a w 2019 r. – prawie 8,5 tys. Korzystne dla konsumentów orzeczenie Trybunału Sprawiedliwości Unii Europejskiej z dnia 3 października </w:t>
            </w:r>
            <w:r w:rsidRPr="00200F48">
              <w:rPr>
                <w:rFonts w:ascii="Arial" w:hAnsi="Arial" w:cs="Arial"/>
                <w:sz w:val="24"/>
                <w:szCs w:val="24"/>
              </w:rPr>
              <w:lastRenderedPageBreak/>
              <w:t xml:space="preserve">2019 r. w sprawie C-260/18 Dziubak, stanowiące odpowiedź na pytanie prejudycjalne jednego z polskich sądów, przełoży się niewątpliwie na dalszy wzrost liczby pozwów w 2020 roku i kolejnych latach.  Należy dodać, że Trybunał w swoim orzecznictwie podkreśla, że europejski system ochrony </w:t>
            </w:r>
            <w:proofErr w:type="gramStart"/>
            <w:r w:rsidRPr="00200F48">
              <w:rPr>
                <w:rFonts w:ascii="Arial" w:hAnsi="Arial" w:cs="Arial"/>
                <w:sz w:val="24"/>
                <w:szCs w:val="24"/>
              </w:rPr>
              <w:t>praw</w:t>
            </w:r>
            <w:proofErr w:type="gramEnd"/>
            <w:r w:rsidRPr="00200F48">
              <w:rPr>
                <w:rFonts w:ascii="Arial" w:hAnsi="Arial" w:cs="Arial"/>
                <w:sz w:val="24"/>
                <w:szCs w:val="24"/>
              </w:rPr>
              <w:t xml:space="preserve"> konsumenta opiera się na założeniu, że konsument jest stroną słabszą niż przedsiębiorca, zarówno pod względem siły negocjacyjnej, jak i ze względu na stopień poinformowania. W związku z tym, godzi się on na postanowienia sformułowane wcześniej przez przedsiębiorcę, nie mając wpływu na ich treść. Mając na względzie słabszą pozycję, regulacje wspólnotowe zobowiązują państwa członkowskie do ustanowienia mechanizmu zapewniającego, iż wszelkie warunki umowne, które nie były indywidualnie negocjowane, mogą zostać poddane </w:t>
            </w:r>
            <w:proofErr w:type="gramStart"/>
            <w:r w:rsidRPr="00200F48">
              <w:rPr>
                <w:rFonts w:ascii="Arial" w:hAnsi="Arial" w:cs="Arial"/>
                <w:sz w:val="24"/>
                <w:szCs w:val="24"/>
              </w:rPr>
              <w:t>kontroli co</w:t>
            </w:r>
            <w:proofErr w:type="gramEnd"/>
            <w:r w:rsidRPr="00200F48">
              <w:rPr>
                <w:rFonts w:ascii="Arial" w:hAnsi="Arial" w:cs="Arial"/>
                <w:sz w:val="24"/>
                <w:szCs w:val="24"/>
              </w:rPr>
              <w:t xml:space="preserve"> do celów i oceny ich ewentualnie nieuczciwego charakteru.</w:t>
            </w:r>
          </w:p>
          <w:p w14:paraId="39CE2C72"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Należy mieć na względzie, że stopień skomplikowania przedmiotowych spraw sądowych pod względem prawnym jest bardzo wysoki. Sprawy te wciąż rodzą rozliczne pytania i wątpliwości w sądach powszechnych. Świadczą o tym rozbieżności w dotychczasowym orzecznictwie (m.in. w samym Sądzie Najwyższym; por. publikacji Biura Studiów i Analiz Sądu Najwyższego </w:t>
            </w:r>
            <w:r w:rsidRPr="00200F48">
              <w:rPr>
                <w:rFonts w:ascii="Arial" w:hAnsi="Arial" w:cs="Arial"/>
                <w:i/>
                <w:iCs/>
                <w:sz w:val="24"/>
                <w:szCs w:val="24"/>
              </w:rPr>
              <w:t>„Studia i Analizy Sądu Najwyższego. Materiały Naukowe. Kredyty Walutowe. Węzłowe Zagadnienia”,</w:t>
            </w:r>
            <w:r w:rsidRPr="00200F48">
              <w:rPr>
                <w:rFonts w:ascii="Arial" w:hAnsi="Arial" w:cs="Arial"/>
                <w:sz w:val="24"/>
                <w:szCs w:val="24"/>
              </w:rPr>
              <w:t xml:space="preserve"> Warszawa 2019), jak również pytania prejudycjalne kierowane do Trybunału Sprawiedliwości Unii Europejskiej. Aktualnie do najważniejszych rozbieżności w orzecznictwie sądów powszechnych należy m.in. </w:t>
            </w:r>
          </w:p>
          <w:p w14:paraId="358BE556"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 określenie, czy klauzula indeksacyjna sprzeczna z dobrymi obyczajami i rażąco naruszająca interesy kredytobiorcy jest bezwzględnie nieważna, czy bezskuteczna, czy nieistniejąca; </w:t>
            </w:r>
          </w:p>
          <w:p w14:paraId="52E9D880"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 rozstrzygnięcie, czy klauzula indeksacyjna współokreśla główne świadczenie stron umowy; </w:t>
            </w:r>
          </w:p>
          <w:p w14:paraId="7023928B"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 ustalenie, czy umowa kredytowa, w której wartość świadczenia wyrażono w walucie obcej, wiąże strony w przypadku uznania klauzuli indeksacyjnej za bezskuteczną. </w:t>
            </w:r>
          </w:p>
          <w:p w14:paraId="1FB9DBDA"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Podobne wątpliwości podnosił również Rzecznik Finansowy, który jest organem powołanym w celu wspierania konsumentów w sporach z podmiotami rynku finansowego (por. stanowisko Rzecznik Finansowego z dnia 23 grudnia 2019 r.)</w:t>
            </w:r>
          </w:p>
          <w:p w14:paraId="38340FB0"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lastRenderedPageBreak/>
              <w:t>Realizacja niniejszego projektu w przedmiotowym zakresie przyczyni się do ujednolicenia orzecznictwa w zakresie problematyki umów kredytowych z walutą obcą i cywilnoprawnych zasad ochrony słabszych stron takich umów, tj. kredytobiorców będących konsumentami, w tym w szczególności oceny i ustalania niedozwolonego charakteru klauzul umownych w umowach kredytowych oraz określania skutków zamieszczenia w umowie takich klauzul.</w:t>
            </w:r>
          </w:p>
          <w:p w14:paraId="404AB671"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Drugim obszarem mającym zasadniczy wpływ na kondycję państwa w zakresie realizowanego przez nie władztwa publicznego jest skuteczność egzekwowania obowiązków wynikających z orzeczeń sądowych w drodze przymusu, w przypadkach uchylania się przez zobowiązanych od wykonania ciążących na nich obowiązków. Koniecznym stało </w:t>
            </w:r>
            <w:proofErr w:type="gramStart"/>
            <w:r w:rsidRPr="00200F48">
              <w:rPr>
                <w:rFonts w:ascii="Arial" w:hAnsi="Arial" w:cs="Arial"/>
                <w:sz w:val="24"/>
                <w:szCs w:val="24"/>
              </w:rPr>
              <w:t>się zatem</w:t>
            </w:r>
            <w:proofErr w:type="gramEnd"/>
            <w:r w:rsidRPr="00200F48">
              <w:rPr>
                <w:rFonts w:ascii="Arial" w:hAnsi="Arial" w:cs="Arial"/>
                <w:sz w:val="24"/>
                <w:szCs w:val="24"/>
              </w:rPr>
              <w:t xml:space="preserve"> wprowadzenie nowych instrumentów prawnych umożliwiających sprawniejsze, szybsze i skuteczniejsze reagowanie organów egzekucyjnych na zmieniające się okoliczności zewnętrzne, przy zachowaniu wszelkich standardów umożliwiających zachowanie pewności obrotu prawnego </w:t>
            </w:r>
            <w:r w:rsidRPr="00200F48">
              <w:rPr>
                <w:rFonts w:ascii="Arial" w:hAnsi="Arial" w:cs="Arial"/>
                <w:iCs/>
                <w:sz w:val="24"/>
                <w:szCs w:val="24"/>
              </w:rPr>
              <w:t>i praw jego</w:t>
            </w:r>
            <w:r w:rsidRPr="00200F48">
              <w:rPr>
                <w:rFonts w:ascii="Arial" w:hAnsi="Arial" w:cs="Arial"/>
                <w:sz w:val="24"/>
                <w:szCs w:val="24"/>
              </w:rPr>
              <w:t xml:space="preserve"> uczestników. Widać wyraźnie, że znaczenie sądowego postępowania egzekucyjnego wciąż rośnie. Coraz więcej </w:t>
            </w:r>
            <w:proofErr w:type="gramStart"/>
            <w:r w:rsidRPr="00200F48">
              <w:rPr>
                <w:rFonts w:ascii="Arial" w:hAnsi="Arial" w:cs="Arial"/>
                <w:sz w:val="24"/>
                <w:szCs w:val="24"/>
              </w:rPr>
              <w:t>jest bowiem</w:t>
            </w:r>
            <w:proofErr w:type="gramEnd"/>
            <w:r w:rsidRPr="00200F48">
              <w:rPr>
                <w:rFonts w:ascii="Arial" w:hAnsi="Arial" w:cs="Arial"/>
                <w:sz w:val="24"/>
                <w:szCs w:val="24"/>
              </w:rPr>
              <w:t xml:space="preserve"> spraw trafiających do organów egzekucyjnych. Komornicy sądowi wykonują powierzone im przez państwo zadania, będąc, jako organ egzekucyjny w sprawach cywilnych, organem władzy publicznej. Komornik, działając w ramach określonych ustawowo kompetencji, realizuje jedno z głównych zadań państwa, jakim jest zapewnienie przestrzegania prawa przez przymusowe wprowadzanie wyroków sądowych w życie. Jednocześnie współczesny obrót prawny i nowe regulacje kreują nowe uprawnienia i obowiązki dla sądów powszechnych w tym obszarze.</w:t>
            </w:r>
          </w:p>
          <w:p w14:paraId="0D45EF49"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W związku z powyższym latach 2018 - 2019 do krajowego porządku prawnego wprowadzono m.in. następujące regulacje prawne mające istotny wpływ na kształt egzekucji sądowej i wynikające z niego obowiązki sądów:</w:t>
            </w:r>
          </w:p>
          <w:p w14:paraId="4EF97C04"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 nową ustawę z 22 marca 2018 r. o komornikach sądowych (Dz. U. z 2020 r. poz. 121; weszła w życie 1 stycznia 2019 </w:t>
            </w:r>
            <w:proofErr w:type="gramStart"/>
            <w:r w:rsidRPr="00200F48">
              <w:rPr>
                <w:rFonts w:ascii="Arial" w:hAnsi="Arial" w:cs="Arial"/>
                <w:sz w:val="24"/>
                <w:szCs w:val="24"/>
              </w:rPr>
              <w:t>r.) – która</w:t>
            </w:r>
            <w:proofErr w:type="gramEnd"/>
            <w:r w:rsidRPr="00200F48">
              <w:rPr>
                <w:rFonts w:ascii="Arial" w:hAnsi="Arial" w:cs="Arial"/>
                <w:sz w:val="24"/>
                <w:szCs w:val="24"/>
              </w:rPr>
              <w:t xml:space="preserve"> m.in. wzmacnia nadzór judykacyjny (sprawowany przez sądy) nad komornikami, rozszerza formy i uprawnienia nadzorcze w ramach nadzoru administracyjnego nad komornikami sprawowanego przez prezesów sądów, zmienia zasady dotyczące finansowania kosztów działalności egzekucyjnej komorników;</w:t>
            </w:r>
          </w:p>
          <w:p w14:paraId="54177DA5"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lastRenderedPageBreak/>
              <w:t xml:space="preserve">- nową ustawę z 22 marca 2018 r. o kosztach komorniczych (Dz. U. z 2019 r. poz. 2363; weszła w życie 1 stycznia 2019 </w:t>
            </w:r>
            <w:proofErr w:type="gramStart"/>
            <w:r w:rsidRPr="00200F48">
              <w:rPr>
                <w:rFonts w:ascii="Arial" w:hAnsi="Arial" w:cs="Arial"/>
                <w:sz w:val="24"/>
                <w:szCs w:val="24"/>
              </w:rPr>
              <w:t>r.) – która</w:t>
            </w:r>
            <w:proofErr w:type="gramEnd"/>
            <w:r w:rsidRPr="00200F48">
              <w:rPr>
                <w:rFonts w:ascii="Arial" w:hAnsi="Arial" w:cs="Arial"/>
                <w:sz w:val="24"/>
                <w:szCs w:val="24"/>
              </w:rPr>
              <w:t xml:space="preserve"> wprowadza zmiany w zakresie zasad ponoszenia i określania wysokości wydatków, opłat za prowadzenie egzekucji oraz przewiduje również nowe uprawnienia i obowiązki dla sądów rejonowych w tym zakresie,</w:t>
            </w:r>
          </w:p>
          <w:p w14:paraId="243BF4C4"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 nowelizację ustawy z dnia 27 lipca 2001 r.– Prawo o ustroju sądów powszechnych (Dz. U. z 2020 r. poz. 365, 288), dokonaną przez w/w ustawę o komornikach </w:t>
            </w:r>
            <w:proofErr w:type="gramStart"/>
            <w:r w:rsidRPr="00200F48">
              <w:rPr>
                <w:rFonts w:ascii="Arial" w:hAnsi="Arial" w:cs="Arial"/>
                <w:sz w:val="24"/>
                <w:szCs w:val="24"/>
              </w:rPr>
              <w:t>sądowych  (weszła</w:t>
            </w:r>
            <w:proofErr w:type="gramEnd"/>
            <w:r w:rsidRPr="00200F48">
              <w:rPr>
                <w:rFonts w:ascii="Arial" w:hAnsi="Arial" w:cs="Arial"/>
                <w:sz w:val="24"/>
                <w:szCs w:val="24"/>
              </w:rPr>
              <w:t xml:space="preserve"> w życie 1 stycznia 2020 r.) – która przewiduje możliwość tworzenia w sądach rejonowych odrębnych wydziałów egzekucyjnych,</w:t>
            </w:r>
          </w:p>
          <w:p w14:paraId="2B29C42B"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 nowelizację ustawy z dnia 17 listopada 1964 r. – Kodeks postępowania cywilnego, wprowadzoną ustawą z dnia 4 lipca 2019 r. o zmianie ustawy – Kodeks postępowania cywilnego oraz niektórych innych ustaw, Dz. U. </w:t>
            </w:r>
            <w:proofErr w:type="gramStart"/>
            <w:r w:rsidRPr="00200F48">
              <w:rPr>
                <w:rFonts w:ascii="Arial" w:hAnsi="Arial" w:cs="Arial"/>
                <w:sz w:val="24"/>
                <w:szCs w:val="24"/>
              </w:rPr>
              <w:t>poz</w:t>
            </w:r>
            <w:proofErr w:type="gramEnd"/>
            <w:r w:rsidRPr="00200F48">
              <w:rPr>
                <w:rFonts w:ascii="Arial" w:hAnsi="Arial" w:cs="Arial"/>
                <w:sz w:val="24"/>
                <w:szCs w:val="24"/>
              </w:rPr>
              <w:t>. 1469 (weszła w życie 7 listopada 2019 r.), która zawiera m.in. zmiany przepisów o postępowaniu egzekucyjnym dotyczące w szczególności zasad sporządzania przez sąd uzasadnień postanowień wydawanych w postępowaniu egzekucyjnym, zasad rozpoznawania zażaleń na postanowienia sądu wydanych w postępowaniu egzekucyjnym, jak również zasad nadawania przez sąd klauzuli wykonalności.</w:t>
            </w:r>
          </w:p>
          <w:p w14:paraId="7C576B9A"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Widoczny bardzo szeroki zakres zmian ustawowych oraz duża dynamika wprowadzonych regulacji, a także ich fundamentalny charakter, nakładają na Krajową Szkołę Sądownictwa i Prokuratury obowiązek podjęcia kompleksowych działań w zakresie aktualizacji wiedzy kadr wymiaru sprawiedliwości w zakresie egzekucji sądowej. Realizacja niniejszego projektu w przedmiotowym zakresie stanowić </w:t>
            </w:r>
            <w:proofErr w:type="gramStart"/>
            <w:r w:rsidRPr="00200F48">
              <w:rPr>
                <w:rFonts w:ascii="Arial" w:hAnsi="Arial" w:cs="Arial"/>
                <w:sz w:val="24"/>
                <w:szCs w:val="24"/>
              </w:rPr>
              <w:t>będzie zatem</w:t>
            </w:r>
            <w:proofErr w:type="gramEnd"/>
            <w:r w:rsidRPr="00200F48">
              <w:rPr>
                <w:rFonts w:ascii="Arial" w:hAnsi="Arial" w:cs="Arial"/>
                <w:sz w:val="24"/>
                <w:szCs w:val="24"/>
              </w:rPr>
              <w:t xml:space="preserve"> działanie komplementarne wobec inicjatyw ustawodawczych, celem których, jest wprowadzenie jednoznacznych zasad efektywnej współpracy między wszystkimi organami egzekucyjnymi, co przełoży się na większą skuteczność postępowań egzekucyjnych.</w:t>
            </w:r>
          </w:p>
          <w:p w14:paraId="40C7E5D0" w14:textId="77777777" w:rsidR="00200F48" w:rsidRPr="00200F48" w:rsidRDefault="00200F48" w:rsidP="00200F48">
            <w:pPr>
              <w:spacing w:before="120" w:after="120" w:line="360" w:lineRule="auto"/>
              <w:ind w:left="176" w:right="141"/>
              <w:rPr>
                <w:rFonts w:ascii="Arial" w:hAnsi="Arial" w:cs="Arial"/>
                <w:sz w:val="24"/>
                <w:szCs w:val="24"/>
              </w:rPr>
            </w:pPr>
            <w:r w:rsidRPr="00200F48">
              <w:rPr>
                <w:rFonts w:ascii="Arial" w:hAnsi="Arial" w:cs="Arial"/>
                <w:sz w:val="24"/>
                <w:szCs w:val="24"/>
              </w:rPr>
              <w:t>Zgodnie z ustawą z dnia 23 stycznia 2009 r. o Krajowej Szkole Sądownictwa i Prokuratury jednym z jej zadań jest szkolenie i doskonalenie zawodowe szeroko rozumianych kadr wymiaru sprawiedliwości w celu uzupełnienia ich specjalistycznej wiedzy i umiejętności zawodowych oraz kwalifikacji zawodowych.</w:t>
            </w:r>
          </w:p>
          <w:p w14:paraId="4FC82192" w14:textId="77777777" w:rsidR="00200F48" w:rsidRPr="00200F48" w:rsidRDefault="00200F48" w:rsidP="00200F48">
            <w:pPr>
              <w:spacing w:before="120" w:after="120" w:line="360" w:lineRule="auto"/>
              <w:ind w:left="176" w:right="141"/>
              <w:rPr>
                <w:rFonts w:ascii="Arial" w:hAnsi="Arial" w:cs="Arial"/>
                <w:sz w:val="24"/>
                <w:szCs w:val="24"/>
              </w:rPr>
            </w:pPr>
            <w:r w:rsidRPr="00200F48">
              <w:rPr>
                <w:rFonts w:ascii="Arial" w:hAnsi="Arial" w:cs="Arial"/>
                <w:sz w:val="24"/>
                <w:szCs w:val="24"/>
              </w:rPr>
              <w:t xml:space="preserve">Krajowa Szkoła posiada wieloletnie doświadczenie w planowaniu oraz realizacji szkoleń i jako jedyna w Polsce centralna instytucja jest uprawniona do </w:t>
            </w:r>
            <w:r w:rsidRPr="00200F48">
              <w:rPr>
                <w:rFonts w:ascii="Arial" w:hAnsi="Arial" w:cs="Arial"/>
                <w:sz w:val="24"/>
                <w:szCs w:val="24"/>
              </w:rPr>
              <w:lastRenderedPageBreak/>
              <w:t>systemowego doskonalenia zawodowego tej wymagającej grupy docelowej. Działalność szkoleniowa Krajowej Szkoły ukierunkowana jest między innymi na diagnozowanie potrzeb szkoleniowych w celu opracowania dedykowanych programów szkoleń, uwzględniających specyfikę pracy poszczególnych zawodów wchodzących w skład kadr wymiaru sprawiedliwości.</w:t>
            </w:r>
          </w:p>
          <w:p w14:paraId="4BBCC30B" w14:textId="77777777" w:rsidR="00200F48" w:rsidRPr="00200F48" w:rsidRDefault="00200F48" w:rsidP="00200F48">
            <w:pPr>
              <w:spacing w:before="120" w:after="120" w:line="360" w:lineRule="auto"/>
              <w:ind w:left="176" w:right="141"/>
              <w:rPr>
                <w:rFonts w:ascii="Arial" w:hAnsi="Arial" w:cs="Arial"/>
                <w:sz w:val="24"/>
                <w:szCs w:val="24"/>
              </w:rPr>
            </w:pPr>
            <w:proofErr w:type="spellStart"/>
            <w:r w:rsidRPr="00200F48">
              <w:rPr>
                <w:rFonts w:ascii="Arial" w:hAnsi="Arial" w:cs="Arial"/>
                <w:sz w:val="24"/>
                <w:szCs w:val="24"/>
              </w:rPr>
              <w:t>KSSiP</w:t>
            </w:r>
            <w:proofErr w:type="spellEnd"/>
            <w:r w:rsidRPr="00200F48">
              <w:rPr>
                <w:rFonts w:ascii="Arial" w:hAnsi="Arial" w:cs="Arial"/>
                <w:sz w:val="24"/>
                <w:szCs w:val="24"/>
              </w:rPr>
              <w:t xml:space="preserve"> będąc podmiotem posiadającym umocowanie prawne, wiedzę oraz bogate i wykwalifikowane zasoby ludzkie może wspomóc właściwą realizację zadań publicznych podejmowanych przez sądy i prokuratury, gwarantując tym samym </w:t>
            </w:r>
            <w:proofErr w:type="gramStart"/>
            <w:r w:rsidRPr="00200F48">
              <w:rPr>
                <w:rFonts w:ascii="Arial" w:hAnsi="Arial" w:cs="Arial"/>
                <w:sz w:val="24"/>
                <w:szCs w:val="24"/>
              </w:rPr>
              <w:t>wysoką jakość</w:t>
            </w:r>
            <w:proofErr w:type="gramEnd"/>
            <w:r w:rsidRPr="00200F48">
              <w:rPr>
                <w:rFonts w:ascii="Arial" w:hAnsi="Arial" w:cs="Arial"/>
                <w:sz w:val="24"/>
                <w:szCs w:val="24"/>
              </w:rPr>
              <w:t xml:space="preserve"> wsparcia realizowanego ze środków unijnych. Zadania </w:t>
            </w:r>
            <w:proofErr w:type="gramStart"/>
            <w:r w:rsidRPr="00200F48">
              <w:rPr>
                <w:rFonts w:ascii="Arial" w:hAnsi="Arial" w:cs="Arial"/>
                <w:sz w:val="24"/>
                <w:szCs w:val="24"/>
              </w:rPr>
              <w:t>wskazane  do</w:t>
            </w:r>
            <w:proofErr w:type="gramEnd"/>
            <w:r w:rsidRPr="00200F48">
              <w:rPr>
                <w:rFonts w:ascii="Arial" w:hAnsi="Arial" w:cs="Arial"/>
                <w:sz w:val="24"/>
                <w:szCs w:val="24"/>
              </w:rPr>
              <w:t xml:space="preserve"> realizacji w ramach planowanej interwencji są także ujęte w „Strategii modernizacji przestrzeni sprawiedliwości w Polsce na lata 2014-2020”, której kierunkiem strategicznym dla </w:t>
            </w:r>
            <w:proofErr w:type="spellStart"/>
            <w:r w:rsidRPr="00200F48">
              <w:rPr>
                <w:rFonts w:ascii="Arial" w:hAnsi="Arial" w:cs="Arial"/>
                <w:sz w:val="24"/>
                <w:szCs w:val="24"/>
              </w:rPr>
              <w:t>KSSiP</w:t>
            </w:r>
            <w:proofErr w:type="spellEnd"/>
            <w:r w:rsidRPr="00200F48">
              <w:rPr>
                <w:rFonts w:ascii="Arial" w:hAnsi="Arial" w:cs="Arial"/>
                <w:sz w:val="24"/>
                <w:szCs w:val="24"/>
              </w:rPr>
              <w:t xml:space="preserve"> jest zapewnienie w perspektywie długoterminowej, dostępności odpowiednich środków na zaplanowaną działalność szkoleniową poprzez pozyskiwanie środków z funduszy UE, a jej funkcjonowanie ma charakter wspierający wobec pozostałych podmiotów strategii.</w:t>
            </w:r>
          </w:p>
          <w:p w14:paraId="23935125" w14:textId="77777777" w:rsidR="00200F48" w:rsidRPr="00200F48" w:rsidRDefault="00200F48" w:rsidP="00200F48">
            <w:pPr>
              <w:spacing w:before="120" w:after="120" w:line="360" w:lineRule="auto"/>
              <w:ind w:left="176" w:right="141"/>
              <w:rPr>
                <w:rFonts w:ascii="Arial" w:hAnsi="Arial" w:cs="Arial"/>
                <w:sz w:val="24"/>
                <w:szCs w:val="24"/>
              </w:rPr>
            </w:pPr>
            <w:r w:rsidRPr="00200F48">
              <w:rPr>
                <w:rFonts w:ascii="Arial" w:hAnsi="Arial" w:cs="Arial"/>
                <w:sz w:val="24"/>
                <w:szCs w:val="24"/>
              </w:rPr>
              <w:t xml:space="preserve">Celem Krajowej Szkoły jest stworzenie systemu kształcenia elity środowiska prawniczego, charakteryzującego się elastycznością, </w:t>
            </w:r>
            <w:proofErr w:type="gramStart"/>
            <w:r w:rsidRPr="00200F48">
              <w:rPr>
                <w:rFonts w:ascii="Arial" w:hAnsi="Arial" w:cs="Arial"/>
                <w:sz w:val="24"/>
                <w:szCs w:val="24"/>
              </w:rPr>
              <w:t>wysoką jakością</w:t>
            </w:r>
            <w:proofErr w:type="gramEnd"/>
            <w:r w:rsidRPr="00200F48">
              <w:rPr>
                <w:rFonts w:ascii="Arial" w:hAnsi="Arial" w:cs="Arial"/>
                <w:sz w:val="24"/>
                <w:szCs w:val="24"/>
              </w:rPr>
              <w:t xml:space="preserve">, skutecznym nauczaniem oraz pełnym zaangażowaniem instytucji publicznych (co wpisuje się w koncepcję </w:t>
            </w:r>
            <w:proofErr w:type="spellStart"/>
            <w:r w:rsidRPr="00200F48">
              <w:rPr>
                <w:rFonts w:ascii="Arial" w:hAnsi="Arial" w:cs="Arial"/>
                <w:sz w:val="24"/>
                <w:szCs w:val="24"/>
              </w:rPr>
              <w:t>Lifelong</w:t>
            </w:r>
            <w:proofErr w:type="spellEnd"/>
            <w:r w:rsidRPr="00200F48">
              <w:rPr>
                <w:rFonts w:ascii="Arial" w:hAnsi="Arial" w:cs="Arial"/>
                <w:sz w:val="24"/>
                <w:szCs w:val="24"/>
              </w:rPr>
              <w:t xml:space="preserve"> Learning Komisji Europejskiej).</w:t>
            </w:r>
          </w:p>
        </w:tc>
      </w:tr>
      <w:tr w:rsidR="00200F48" w:rsidRPr="00200F48" w14:paraId="439F4E5F" w14:textId="77777777" w:rsidTr="00B81D3B">
        <w:trPr>
          <w:trHeight w:val="567"/>
        </w:trPr>
        <w:tc>
          <w:tcPr>
            <w:tcW w:w="9356" w:type="dxa"/>
            <w:gridSpan w:val="18"/>
            <w:tcBorders>
              <w:top w:val="single" w:sz="4" w:space="0" w:color="auto"/>
              <w:bottom w:val="single" w:sz="4" w:space="0" w:color="auto"/>
            </w:tcBorders>
            <w:shd w:val="clear" w:color="auto" w:fill="CCC0D9"/>
            <w:vAlign w:val="center"/>
          </w:tcPr>
          <w:p w14:paraId="46624935"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lastRenderedPageBreak/>
              <w:t>Zasadnicze założenia interwencji publicznej, której wsparcie zaplanowano w ramach projektu</w:t>
            </w:r>
          </w:p>
        </w:tc>
      </w:tr>
      <w:tr w:rsidR="00200F48" w:rsidRPr="00200F48" w14:paraId="65101709" w14:textId="77777777" w:rsidTr="00B81D3B">
        <w:trPr>
          <w:trHeight w:val="567"/>
        </w:trPr>
        <w:tc>
          <w:tcPr>
            <w:tcW w:w="9356" w:type="dxa"/>
            <w:gridSpan w:val="18"/>
            <w:tcBorders>
              <w:top w:val="single" w:sz="4" w:space="0" w:color="auto"/>
              <w:bottom w:val="single" w:sz="4" w:space="0" w:color="auto"/>
            </w:tcBorders>
            <w:shd w:val="clear" w:color="auto" w:fill="auto"/>
            <w:vAlign w:val="center"/>
          </w:tcPr>
          <w:p w14:paraId="518E5D5D" w14:textId="77777777" w:rsidR="00200F48" w:rsidRPr="00200F48" w:rsidRDefault="00200F48" w:rsidP="00200F48">
            <w:pPr>
              <w:spacing w:before="120" w:after="120" w:line="360" w:lineRule="auto"/>
              <w:ind w:left="176" w:right="141"/>
              <w:rPr>
                <w:rFonts w:ascii="Arial" w:hAnsi="Arial" w:cs="Arial"/>
                <w:sz w:val="24"/>
                <w:szCs w:val="24"/>
              </w:rPr>
            </w:pPr>
            <w:r w:rsidRPr="00200F48">
              <w:rPr>
                <w:rFonts w:ascii="Arial" w:hAnsi="Arial" w:cs="Arial"/>
                <w:sz w:val="24"/>
                <w:szCs w:val="24"/>
              </w:rPr>
              <w:t xml:space="preserve">Zasadniczym założeniem interwencji publicznej będzie zwiększenie świadomości prawnej i społecznej w zakresie prawa ochrony konsumenta poprzez podniesienie kompetencji w zakresie identyfikacji klauzul abuzywnych a także skutków ich zamieszczania w umowach </w:t>
            </w:r>
            <w:proofErr w:type="gramStart"/>
            <w:r w:rsidRPr="00200F48">
              <w:rPr>
                <w:rFonts w:ascii="Arial" w:hAnsi="Arial" w:cs="Arial"/>
                <w:sz w:val="24"/>
                <w:szCs w:val="24"/>
              </w:rPr>
              <w:t>kredytowych,  co</w:t>
            </w:r>
            <w:proofErr w:type="gramEnd"/>
            <w:r w:rsidRPr="00200F48">
              <w:rPr>
                <w:rFonts w:ascii="Arial" w:hAnsi="Arial" w:cs="Arial"/>
                <w:sz w:val="24"/>
                <w:szCs w:val="24"/>
              </w:rPr>
              <w:t xml:space="preserve"> przełoży się na ujednolicenie linii orzeczniczej w tym zakresie. Wobec nierozwiązania tych problemów na drodze legislacyjnej, niezbędne jest wyposażenie kadr wymiaru sprawiedliwości w narzędzia umożliwiające skuteczne rozwiązywanie problemów walutowych umów kredytowych na sali sądowej, co przełoży się przede </w:t>
            </w:r>
            <w:proofErr w:type="gramStart"/>
            <w:r w:rsidRPr="00200F48">
              <w:rPr>
                <w:rFonts w:ascii="Arial" w:hAnsi="Arial" w:cs="Arial"/>
                <w:sz w:val="24"/>
                <w:szCs w:val="24"/>
              </w:rPr>
              <w:t>wszystkim na jakość</w:t>
            </w:r>
            <w:proofErr w:type="gramEnd"/>
            <w:r w:rsidRPr="00200F48">
              <w:rPr>
                <w:rFonts w:ascii="Arial" w:hAnsi="Arial" w:cs="Arial"/>
                <w:sz w:val="24"/>
                <w:szCs w:val="24"/>
              </w:rPr>
              <w:t xml:space="preserve"> i spójność wydawanych rozstrzygnięć. </w:t>
            </w:r>
          </w:p>
          <w:p w14:paraId="5DA0A43B" w14:textId="77777777" w:rsidR="00200F48" w:rsidRPr="00200F48" w:rsidRDefault="00200F48" w:rsidP="00200F48">
            <w:pPr>
              <w:spacing w:before="120" w:after="120" w:line="360" w:lineRule="auto"/>
              <w:ind w:left="176" w:right="141"/>
              <w:rPr>
                <w:rFonts w:ascii="Arial" w:hAnsi="Arial" w:cs="Arial"/>
                <w:sz w:val="24"/>
                <w:szCs w:val="24"/>
              </w:rPr>
            </w:pPr>
            <w:r w:rsidRPr="00200F48">
              <w:rPr>
                <w:rFonts w:ascii="Arial" w:hAnsi="Arial" w:cs="Arial"/>
                <w:sz w:val="24"/>
                <w:szCs w:val="24"/>
              </w:rPr>
              <w:t xml:space="preserve">Realizowane działania </w:t>
            </w:r>
            <w:proofErr w:type="gramStart"/>
            <w:r w:rsidRPr="00200F48">
              <w:rPr>
                <w:rFonts w:ascii="Arial" w:hAnsi="Arial" w:cs="Arial"/>
                <w:sz w:val="24"/>
                <w:szCs w:val="24"/>
              </w:rPr>
              <w:t>umożliwią bowiem</w:t>
            </w:r>
            <w:proofErr w:type="gramEnd"/>
            <w:r w:rsidRPr="00200F48">
              <w:rPr>
                <w:rFonts w:ascii="Arial" w:hAnsi="Arial" w:cs="Arial"/>
                <w:sz w:val="24"/>
                <w:szCs w:val="24"/>
              </w:rPr>
              <w:t xml:space="preserve"> podniesienie poziomu wiedzy w zakresie </w:t>
            </w:r>
            <w:r w:rsidRPr="00200F48">
              <w:rPr>
                <w:rFonts w:ascii="Arial" w:hAnsi="Arial" w:cs="Arial"/>
                <w:sz w:val="24"/>
                <w:szCs w:val="24"/>
              </w:rPr>
              <w:lastRenderedPageBreak/>
              <w:t>dotyczącym umów kredytu konsumenckiego z walutą obcą oraz pozwolą na szczegółowe zaznajomienie uczestników szkoleń z instrumentami ochrony konsumenta, przewidzianymi przepisami kodeksu cywilnego i innych ustaw. Przyczynią się do zidentyfikowania niedozwolonych postanowień umownych zgodnie z Dyrektywą Rady 93/13/EWG z dnia 5 kwietnia 1993 r. w sprawie nieuczciwych warunków w umowach konsumenckich, ze szczególnym uwzględnieniem umów kredytowych w walucie obcej. Ponadto w ramach projektu omówiony zostanie sposób kształtowania mechanizmów indeksacyjnych i denominacyjnych w umowach kredytowych wykorzystywanych w praktyce, z uwzględnieniem najbardziej newralgicznych kwestii będących kanwą toczących się sporów sądowych. Dogłębnie przedyskutowane zostaną zagadnienia dotyczące przeprowadzania oceny niedozwolonego charakteru postanowień zawartych w w/w umowach oraz określania skutków stwierdzenia w umowie takiego postanowienia dla dalszego bytu umowy i jej realizacji.</w:t>
            </w:r>
          </w:p>
          <w:p w14:paraId="76C95767" w14:textId="77777777" w:rsidR="00200F48" w:rsidRPr="00200F48" w:rsidRDefault="00200F48" w:rsidP="00200F48">
            <w:pPr>
              <w:spacing w:before="120" w:after="120" w:line="360" w:lineRule="auto"/>
              <w:ind w:left="176" w:right="141"/>
              <w:rPr>
                <w:rFonts w:ascii="Arial" w:hAnsi="Arial" w:cs="Arial"/>
                <w:sz w:val="24"/>
                <w:szCs w:val="24"/>
              </w:rPr>
            </w:pPr>
            <w:r w:rsidRPr="00200F48">
              <w:rPr>
                <w:rFonts w:ascii="Arial" w:hAnsi="Arial" w:cs="Arial"/>
                <w:sz w:val="24"/>
                <w:szCs w:val="24"/>
              </w:rPr>
              <w:t xml:space="preserve">Ponadto przedmiotowa interwencja koncentruje się również wokół aktualizacji wiedzy kadr wymiaru sprawiedliwości, w szczególności sędziów i referendarzy sądowych orzekających w sprawach egzekucyjnych, uwzględniając przede wszystkim złożoność materii objętej przepisami regulującymi postępowanie egzekucyjne, jak też konieczność umożliwienia sądom sprawowania realnego nadzoru judykacyjnego nad działalnością komorników sądowych. Działalnie to jest komplementarne wobec inicjatyw ustawodawczych, </w:t>
            </w:r>
            <w:proofErr w:type="gramStart"/>
            <w:r w:rsidRPr="00200F48">
              <w:rPr>
                <w:rFonts w:ascii="Arial" w:hAnsi="Arial" w:cs="Arial"/>
                <w:sz w:val="24"/>
                <w:szCs w:val="24"/>
              </w:rPr>
              <w:t>celem których</w:t>
            </w:r>
            <w:proofErr w:type="gramEnd"/>
            <w:r w:rsidRPr="00200F48">
              <w:rPr>
                <w:rFonts w:ascii="Arial" w:hAnsi="Arial" w:cs="Arial"/>
                <w:sz w:val="24"/>
                <w:szCs w:val="24"/>
              </w:rPr>
              <w:t xml:space="preserve"> jest usprawnienie egzekucji sądowej poprzez usunięcie niejasności interpretacyjnych i błędów normatywnych, a także modyfikacja i wprowadzenie nowych instytucji prawnych wpływających na jakość i skuteczność stosowania już istniejących środków egzekucyjnych.</w:t>
            </w:r>
          </w:p>
          <w:p w14:paraId="252B00CE" w14:textId="77777777" w:rsidR="00200F48" w:rsidRPr="00200F48" w:rsidRDefault="00200F48" w:rsidP="00200F48">
            <w:pPr>
              <w:spacing w:before="120" w:after="120" w:line="360" w:lineRule="auto"/>
              <w:ind w:left="176" w:right="141"/>
              <w:rPr>
                <w:rFonts w:ascii="Arial" w:hAnsi="Arial" w:cs="Arial"/>
                <w:sz w:val="24"/>
                <w:szCs w:val="24"/>
              </w:rPr>
            </w:pPr>
            <w:r w:rsidRPr="00200F48">
              <w:rPr>
                <w:rFonts w:ascii="Arial" w:hAnsi="Arial" w:cs="Arial"/>
                <w:sz w:val="24"/>
                <w:szCs w:val="24"/>
              </w:rPr>
              <w:t xml:space="preserve">Zadania wskazane do realizacji w ramach planowanej interwencji są również ujęte w Strategii modernizacji przestrzeni sprawiedliwości w Polsce na lata 2014-2020, w perspektywie rozwoju zakładając zmniejszenie luki kompetencyjnej kadr wymiaru sprawiedliwości i prokuratury poprzez zwiększenie liczby szkoleń interdyscyplinarnych. </w:t>
            </w:r>
          </w:p>
          <w:p w14:paraId="7DCAB85F" w14:textId="77777777" w:rsidR="00200F48" w:rsidRPr="00200F48" w:rsidRDefault="00200F48" w:rsidP="00200F48">
            <w:pPr>
              <w:spacing w:before="120" w:after="120" w:line="360" w:lineRule="auto"/>
              <w:ind w:left="176" w:right="141"/>
              <w:rPr>
                <w:rFonts w:ascii="Arial" w:hAnsi="Arial" w:cs="Arial"/>
                <w:sz w:val="24"/>
                <w:szCs w:val="24"/>
              </w:rPr>
            </w:pPr>
            <w:r w:rsidRPr="00200F48">
              <w:rPr>
                <w:rFonts w:ascii="Arial" w:hAnsi="Arial" w:cs="Arial"/>
                <w:sz w:val="24"/>
                <w:szCs w:val="24"/>
              </w:rPr>
              <w:t xml:space="preserve">Celem zaplanowanych szkoleń jest także wyjście naprzeciw oczekiwaniom wyrażonym nie tylko przez uprawnione przez ustawodawcę </w:t>
            </w:r>
            <w:proofErr w:type="gramStart"/>
            <w:r w:rsidRPr="00200F48">
              <w:rPr>
                <w:rFonts w:ascii="Arial" w:hAnsi="Arial" w:cs="Arial"/>
                <w:sz w:val="24"/>
                <w:szCs w:val="24"/>
              </w:rPr>
              <w:t>organy ale</w:t>
            </w:r>
            <w:proofErr w:type="gramEnd"/>
            <w:r w:rsidRPr="00200F48">
              <w:rPr>
                <w:rFonts w:ascii="Arial" w:hAnsi="Arial" w:cs="Arial"/>
                <w:sz w:val="24"/>
                <w:szCs w:val="24"/>
              </w:rPr>
              <w:t xml:space="preserve"> również </w:t>
            </w:r>
            <w:r w:rsidRPr="00200F48">
              <w:rPr>
                <w:rFonts w:ascii="Arial" w:hAnsi="Arial" w:cs="Arial"/>
                <w:sz w:val="24"/>
                <w:szCs w:val="24"/>
              </w:rPr>
              <w:lastRenderedPageBreak/>
              <w:t xml:space="preserve">bezpośrednio przez jednostki. Przeprowadzenie szkoleń przyczyni się do podniesienia specjalistycznej wiedzy prawniczej w obszarze prawa ochrony konsumenta i egzekucji sądowej wśród kadr wymiaru sprawiedliwości. Organizacja szkoleń ogólnopolskich przyczyni się do trwałej </w:t>
            </w:r>
            <w:proofErr w:type="gramStart"/>
            <w:r w:rsidRPr="00200F48">
              <w:rPr>
                <w:rFonts w:ascii="Arial" w:hAnsi="Arial" w:cs="Arial"/>
                <w:sz w:val="24"/>
                <w:szCs w:val="24"/>
              </w:rPr>
              <w:t>poprawy jakości</w:t>
            </w:r>
            <w:proofErr w:type="gramEnd"/>
            <w:r w:rsidRPr="00200F48">
              <w:rPr>
                <w:rFonts w:ascii="Arial" w:hAnsi="Arial" w:cs="Arial"/>
                <w:sz w:val="24"/>
                <w:szCs w:val="24"/>
              </w:rPr>
              <w:t xml:space="preserve"> wydawanych orzeczeń i zwiększy skuteczność ich egzekwowania. Efektem szkoleń będzie wzrost wiedzy w obszarze prawa ochrony konsumenta oraz egzekucji sądowej, mierzony na podstawie praktycznego testu i potwierdzony wydanym w ramach projektu zaświadczeniem.</w:t>
            </w:r>
          </w:p>
        </w:tc>
      </w:tr>
      <w:tr w:rsidR="00200F48" w:rsidRPr="00200F48" w14:paraId="70D57DE8" w14:textId="77777777" w:rsidTr="00B81D3B">
        <w:trPr>
          <w:trHeight w:val="636"/>
        </w:trPr>
        <w:tc>
          <w:tcPr>
            <w:tcW w:w="9356" w:type="dxa"/>
            <w:gridSpan w:val="18"/>
            <w:tcBorders>
              <w:top w:val="single" w:sz="2" w:space="0" w:color="auto"/>
              <w:bottom w:val="single" w:sz="2" w:space="0" w:color="auto"/>
            </w:tcBorders>
            <w:shd w:val="clear" w:color="auto" w:fill="CCC0D9"/>
            <w:vAlign w:val="center"/>
          </w:tcPr>
          <w:p w14:paraId="35509E4B"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lastRenderedPageBreak/>
              <w:t>Główne zadania przewidziane do realizacji w projekcie ze wskazaniem grup docelowych</w:t>
            </w:r>
          </w:p>
        </w:tc>
      </w:tr>
      <w:tr w:rsidR="00200F48" w:rsidRPr="00200F48" w14:paraId="2D7A3492" w14:textId="77777777" w:rsidTr="00B81D3B">
        <w:trPr>
          <w:trHeight w:val="567"/>
        </w:trPr>
        <w:tc>
          <w:tcPr>
            <w:tcW w:w="9356" w:type="dxa"/>
            <w:gridSpan w:val="18"/>
            <w:tcBorders>
              <w:top w:val="single" w:sz="4" w:space="0" w:color="auto"/>
              <w:bottom w:val="single" w:sz="4" w:space="0" w:color="auto"/>
            </w:tcBorders>
            <w:shd w:val="clear" w:color="auto" w:fill="auto"/>
            <w:vAlign w:val="center"/>
          </w:tcPr>
          <w:p w14:paraId="494C253E" w14:textId="77777777" w:rsidR="00200F48" w:rsidRPr="00200F48" w:rsidRDefault="00200F48" w:rsidP="00200F48">
            <w:pPr>
              <w:spacing w:before="120" w:after="120" w:line="360" w:lineRule="auto"/>
              <w:ind w:right="175"/>
              <w:rPr>
                <w:rFonts w:ascii="Arial" w:hAnsi="Arial" w:cs="Arial"/>
                <w:sz w:val="24"/>
                <w:szCs w:val="24"/>
              </w:rPr>
            </w:pPr>
          </w:p>
          <w:p w14:paraId="093D8E06" w14:textId="77777777" w:rsidR="00200F48" w:rsidRPr="00200F48" w:rsidRDefault="00200F48" w:rsidP="00200F48">
            <w:pPr>
              <w:numPr>
                <w:ilvl w:val="0"/>
                <w:numId w:val="20"/>
              </w:numPr>
              <w:spacing w:before="120" w:after="120" w:line="360" w:lineRule="auto"/>
              <w:ind w:right="175"/>
              <w:rPr>
                <w:rFonts w:ascii="Arial" w:hAnsi="Arial" w:cs="Arial"/>
                <w:b/>
                <w:sz w:val="24"/>
                <w:szCs w:val="24"/>
              </w:rPr>
            </w:pPr>
            <w:r w:rsidRPr="00200F48">
              <w:rPr>
                <w:rFonts w:ascii="Arial" w:hAnsi="Arial" w:cs="Arial"/>
                <w:b/>
                <w:sz w:val="24"/>
                <w:szCs w:val="24"/>
              </w:rPr>
              <w:t>Przeprowadzenie konsultacji z przedstawicielami kadr wymiaru sprawiedliwości i organów ścigania oraz specjalistów z dziedziny prawa ochrony konsumenta i egzekucji sądowej (lipiec 2021 r. – wrzesień 2021 r.)</w:t>
            </w:r>
          </w:p>
          <w:p w14:paraId="197E2F22" w14:textId="77777777" w:rsidR="00200F48" w:rsidRPr="00200F48" w:rsidRDefault="00200F48" w:rsidP="00200F48">
            <w:pPr>
              <w:spacing w:before="120" w:after="120" w:line="360" w:lineRule="auto"/>
              <w:ind w:left="754" w:right="175"/>
              <w:rPr>
                <w:rFonts w:ascii="Arial" w:hAnsi="Arial" w:cs="Arial"/>
                <w:sz w:val="24"/>
                <w:szCs w:val="24"/>
              </w:rPr>
            </w:pPr>
            <w:r w:rsidRPr="00200F48">
              <w:rPr>
                <w:rFonts w:ascii="Arial" w:hAnsi="Arial" w:cs="Arial"/>
                <w:sz w:val="24"/>
                <w:szCs w:val="24"/>
              </w:rPr>
              <w:t>- zorganizowane zostaną warsztaty konsultacyjne z przedstawicielami sądów powszechnych i jednostek prokuratury oraz specjalistami z dziedziny prawa ochrony konsumenta i egzekucji sądowej w celu omówienia problematyki prowadzenia postępowań sądowych w przedmiotowych obszarach jak również głównych założeń programów szkoleniowych i możliwości ich realizacji;</w:t>
            </w:r>
          </w:p>
          <w:p w14:paraId="18E2F29C" w14:textId="77777777" w:rsidR="00200F48" w:rsidRPr="00200F48" w:rsidRDefault="00200F48" w:rsidP="00200F48">
            <w:pPr>
              <w:numPr>
                <w:ilvl w:val="0"/>
                <w:numId w:val="20"/>
              </w:numPr>
              <w:spacing w:before="120" w:after="120" w:line="360" w:lineRule="auto"/>
              <w:ind w:right="175"/>
              <w:rPr>
                <w:rFonts w:ascii="Arial" w:hAnsi="Arial" w:cs="Arial"/>
                <w:b/>
                <w:sz w:val="24"/>
                <w:szCs w:val="24"/>
              </w:rPr>
            </w:pPr>
            <w:r w:rsidRPr="00200F48">
              <w:rPr>
                <w:rFonts w:ascii="Arial" w:hAnsi="Arial" w:cs="Arial"/>
                <w:b/>
                <w:sz w:val="24"/>
                <w:szCs w:val="24"/>
              </w:rPr>
              <w:t>Opracowanie programów szkoleń wraz z materiałami i obudową dydaktyczną przez ekspertów (sierpień 2021r. – październik 2021 r.)</w:t>
            </w:r>
          </w:p>
          <w:p w14:paraId="55821A8B" w14:textId="77777777" w:rsidR="00200F48" w:rsidRPr="00200F48" w:rsidRDefault="00200F48" w:rsidP="00200F48">
            <w:pPr>
              <w:spacing w:before="120" w:after="120" w:line="360" w:lineRule="auto"/>
              <w:ind w:left="754" w:right="175"/>
              <w:rPr>
                <w:rFonts w:ascii="Arial" w:hAnsi="Arial" w:cs="Arial"/>
                <w:sz w:val="24"/>
                <w:szCs w:val="24"/>
              </w:rPr>
            </w:pPr>
            <w:r w:rsidRPr="00200F48">
              <w:rPr>
                <w:rFonts w:ascii="Arial" w:hAnsi="Arial" w:cs="Arial"/>
                <w:sz w:val="24"/>
                <w:szCs w:val="24"/>
              </w:rPr>
              <w:t>- opracowane zostaną przez ekspertów dwa dedykowane programy szkoleń wraz z obudową metodyczną (cele i efekty szkolenia, materiały szkoleniowe, narzędzia weryfikujące efektywność szkoleń) – w obszarze prawa ochrony konsumenta oraz egzekucji sądowej;</w:t>
            </w:r>
          </w:p>
          <w:p w14:paraId="7B413875" w14:textId="77777777" w:rsidR="00200F48" w:rsidRPr="00200F48" w:rsidRDefault="00200F48" w:rsidP="00200F48">
            <w:pPr>
              <w:numPr>
                <w:ilvl w:val="0"/>
                <w:numId w:val="20"/>
              </w:numPr>
              <w:spacing w:before="120" w:after="120" w:line="360" w:lineRule="auto"/>
              <w:ind w:right="175"/>
              <w:rPr>
                <w:rFonts w:ascii="Arial" w:hAnsi="Arial" w:cs="Arial"/>
                <w:b/>
                <w:sz w:val="24"/>
                <w:szCs w:val="24"/>
              </w:rPr>
            </w:pPr>
            <w:r w:rsidRPr="00200F48">
              <w:rPr>
                <w:rFonts w:ascii="Arial" w:hAnsi="Arial" w:cs="Arial"/>
                <w:b/>
                <w:sz w:val="24"/>
                <w:szCs w:val="24"/>
              </w:rPr>
              <w:t>Przeprowadzenie 20-godzinnych szkoleń dla 32 grup (śr. 25-</w:t>
            </w:r>
            <w:proofErr w:type="gramStart"/>
            <w:r w:rsidRPr="00200F48">
              <w:rPr>
                <w:rFonts w:ascii="Arial" w:hAnsi="Arial" w:cs="Arial"/>
                <w:b/>
                <w:sz w:val="24"/>
                <w:szCs w:val="24"/>
              </w:rPr>
              <w:t>osobowych</w:t>
            </w:r>
            <w:proofErr w:type="gramEnd"/>
            <w:r w:rsidRPr="00200F48">
              <w:rPr>
                <w:rFonts w:ascii="Arial" w:hAnsi="Arial" w:cs="Arial"/>
                <w:b/>
                <w:sz w:val="24"/>
                <w:szCs w:val="24"/>
              </w:rPr>
              <w:t>) (listopad 2021 r. – luty 2023 r.)</w:t>
            </w:r>
          </w:p>
          <w:p w14:paraId="101FEB46" w14:textId="77777777" w:rsidR="00200F48" w:rsidRPr="00200F48" w:rsidRDefault="00200F48" w:rsidP="00200F48">
            <w:pPr>
              <w:spacing w:before="120" w:after="120" w:line="360" w:lineRule="auto"/>
              <w:ind w:left="754" w:right="175"/>
              <w:rPr>
                <w:rFonts w:ascii="Arial" w:hAnsi="Arial" w:cs="Arial"/>
                <w:sz w:val="24"/>
                <w:szCs w:val="24"/>
              </w:rPr>
            </w:pPr>
            <w:r w:rsidRPr="00200F48">
              <w:rPr>
                <w:rFonts w:ascii="Arial" w:hAnsi="Arial" w:cs="Arial"/>
                <w:sz w:val="24"/>
                <w:szCs w:val="24"/>
              </w:rPr>
              <w:t xml:space="preserve">- zorganizowane zostaną 3-dniowe (20-godzinne) szkolenia dla 32 grup z </w:t>
            </w:r>
            <w:r w:rsidRPr="00200F48">
              <w:rPr>
                <w:rFonts w:ascii="Arial" w:hAnsi="Arial" w:cs="Arial"/>
                <w:sz w:val="24"/>
                <w:szCs w:val="24"/>
              </w:rPr>
              <w:lastRenderedPageBreak/>
              <w:t>zakresu dwóch bloków tematycznych - prawa ochrony konsumenta oraz egzekucji sądowej, w formie wykładowo-warsztatowej;</w:t>
            </w:r>
          </w:p>
          <w:p w14:paraId="33919F31" w14:textId="77777777" w:rsidR="00200F48" w:rsidRPr="00200F48" w:rsidRDefault="00200F48" w:rsidP="00200F48">
            <w:pPr>
              <w:numPr>
                <w:ilvl w:val="0"/>
                <w:numId w:val="20"/>
              </w:numPr>
              <w:spacing w:before="120" w:after="120" w:line="360" w:lineRule="auto"/>
              <w:ind w:right="175"/>
              <w:rPr>
                <w:rFonts w:ascii="Arial" w:hAnsi="Arial" w:cs="Arial"/>
                <w:b/>
                <w:sz w:val="24"/>
                <w:szCs w:val="24"/>
              </w:rPr>
            </w:pPr>
            <w:r w:rsidRPr="00200F48">
              <w:rPr>
                <w:rFonts w:ascii="Arial" w:hAnsi="Arial" w:cs="Arial"/>
                <w:b/>
                <w:sz w:val="24"/>
                <w:szCs w:val="24"/>
              </w:rPr>
              <w:t xml:space="preserve">Opracowanie dodatkowych materiałów do wykorzystania w bieżącej pracy zawodowej - </w:t>
            </w:r>
            <w:proofErr w:type="gramStart"/>
            <w:r w:rsidRPr="00200F48">
              <w:rPr>
                <w:rFonts w:ascii="Arial" w:hAnsi="Arial" w:cs="Arial"/>
                <w:b/>
                <w:sz w:val="24"/>
                <w:szCs w:val="24"/>
              </w:rPr>
              <w:t>szkolenia  e-learningowego</w:t>
            </w:r>
            <w:proofErr w:type="gramEnd"/>
            <w:r w:rsidRPr="00200F48">
              <w:rPr>
                <w:rFonts w:ascii="Arial" w:hAnsi="Arial" w:cs="Arial"/>
                <w:b/>
                <w:sz w:val="24"/>
                <w:szCs w:val="24"/>
              </w:rPr>
              <w:t xml:space="preserve"> z obszaru prawa ochrony konsumenta i egzekucji sądowej (sierpień 2022 r. - marzec 2023 r.)</w:t>
            </w:r>
          </w:p>
          <w:p w14:paraId="7494EE91" w14:textId="77777777" w:rsidR="00200F48" w:rsidRPr="00200F48" w:rsidRDefault="00200F48" w:rsidP="00200F48">
            <w:pPr>
              <w:spacing w:before="120" w:after="120" w:line="360" w:lineRule="auto"/>
              <w:ind w:left="754" w:right="175"/>
              <w:rPr>
                <w:rFonts w:ascii="Arial" w:hAnsi="Arial" w:cs="Arial"/>
                <w:sz w:val="24"/>
                <w:szCs w:val="24"/>
              </w:rPr>
            </w:pPr>
            <w:r w:rsidRPr="00200F48">
              <w:rPr>
                <w:rFonts w:ascii="Arial" w:hAnsi="Arial" w:cs="Arial"/>
                <w:sz w:val="24"/>
                <w:szCs w:val="24"/>
              </w:rPr>
              <w:t xml:space="preserve">- opracowane zostaną dwa szkolenia e-learningowe, które następnie zostaną zaimplementowane na Platformie e-learningowej </w:t>
            </w:r>
            <w:proofErr w:type="spellStart"/>
            <w:r w:rsidRPr="00200F48">
              <w:rPr>
                <w:rFonts w:ascii="Arial" w:hAnsi="Arial" w:cs="Arial"/>
                <w:sz w:val="24"/>
                <w:szCs w:val="24"/>
              </w:rPr>
              <w:t>KSSiP</w:t>
            </w:r>
            <w:proofErr w:type="spellEnd"/>
            <w:r w:rsidRPr="00200F48">
              <w:rPr>
                <w:rFonts w:ascii="Arial" w:hAnsi="Arial" w:cs="Arial"/>
                <w:sz w:val="24"/>
                <w:szCs w:val="24"/>
              </w:rPr>
              <w:t xml:space="preserve"> i udostępnione wszystkim zainteresowanym;</w:t>
            </w:r>
          </w:p>
          <w:p w14:paraId="109133BB" w14:textId="77777777" w:rsidR="00200F48" w:rsidRPr="00200F48" w:rsidRDefault="00200F48" w:rsidP="00200F48">
            <w:pPr>
              <w:spacing w:before="120" w:after="120" w:line="360" w:lineRule="auto"/>
              <w:ind w:left="178" w:right="177"/>
              <w:rPr>
                <w:rFonts w:ascii="Arial" w:hAnsi="Arial" w:cs="Arial"/>
                <w:b/>
                <w:sz w:val="24"/>
                <w:szCs w:val="24"/>
              </w:rPr>
            </w:pPr>
            <w:r w:rsidRPr="00200F48">
              <w:rPr>
                <w:rFonts w:ascii="Arial" w:hAnsi="Arial" w:cs="Arial"/>
                <w:sz w:val="24"/>
                <w:szCs w:val="24"/>
              </w:rPr>
              <w:t xml:space="preserve">Grupa docelowa: sędziowie i </w:t>
            </w:r>
            <w:proofErr w:type="gramStart"/>
            <w:r w:rsidRPr="00200F48">
              <w:rPr>
                <w:rFonts w:ascii="Arial" w:hAnsi="Arial" w:cs="Arial"/>
                <w:sz w:val="24"/>
                <w:szCs w:val="24"/>
              </w:rPr>
              <w:t>asesorzy</w:t>
            </w:r>
            <w:proofErr w:type="gramEnd"/>
            <w:r w:rsidRPr="00200F48">
              <w:rPr>
                <w:rFonts w:ascii="Arial" w:hAnsi="Arial" w:cs="Arial"/>
                <w:sz w:val="24"/>
                <w:szCs w:val="24"/>
              </w:rPr>
              <w:t xml:space="preserve"> sądowi, prokuratorzy i asesorzy prokuratury, referendarze sądowi, asystenci sędziów i asystenci prokuratorów.</w:t>
            </w:r>
          </w:p>
        </w:tc>
      </w:tr>
      <w:tr w:rsidR="00200F48" w:rsidRPr="00200F48" w14:paraId="58404997" w14:textId="77777777" w:rsidTr="00B81D3B">
        <w:trPr>
          <w:trHeight w:val="567"/>
        </w:trPr>
        <w:tc>
          <w:tcPr>
            <w:tcW w:w="9356" w:type="dxa"/>
            <w:gridSpan w:val="18"/>
            <w:tcBorders>
              <w:top w:val="single" w:sz="4" w:space="0" w:color="auto"/>
              <w:bottom w:val="single" w:sz="4" w:space="0" w:color="auto"/>
            </w:tcBorders>
            <w:shd w:val="clear" w:color="auto" w:fill="CCC0D9"/>
            <w:vAlign w:val="center"/>
          </w:tcPr>
          <w:p w14:paraId="443FA240"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lastRenderedPageBreak/>
              <w:t>Zasadnicze działania ukierunkowane na wsparcie podejmowanej interwencji publicznej, zrealizowane dotychczas przez wnioskodawcę lub inne instytucje</w:t>
            </w:r>
          </w:p>
        </w:tc>
      </w:tr>
      <w:tr w:rsidR="00200F48" w:rsidRPr="00200F48" w14:paraId="4071180A" w14:textId="77777777" w:rsidTr="00B81D3B">
        <w:trPr>
          <w:trHeight w:val="567"/>
        </w:trPr>
        <w:tc>
          <w:tcPr>
            <w:tcW w:w="9356" w:type="dxa"/>
            <w:gridSpan w:val="18"/>
            <w:tcBorders>
              <w:top w:val="single" w:sz="4" w:space="0" w:color="auto"/>
              <w:bottom w:val="single" w:sz="4" w:space="0" w:color="auto"/>
            </w:tcBorders>
            <w:shd w:val="clear" w:color="auto" w:fill="auto"/>
            <w:vAlign w:val="center"/>
          </w:tcPr>
          <w:p w14:paraId="3554059D" w14:textId="77777777" w:rsidR="00200F48" w:rsidRPr="00200F48" w:rsidRDefault="00200F48" w:rsidP="00200F48">
            <w:pPr>
              <w:spacing w:before="120" w:after="120" w:line="360" w:lineRule="auto"/>
              <w:ind w:left="176" w:right="141"/>
              <w:rPr>
                <w:rFonts w:ascii="Arial" w:hAnsi="Arial" w:cs="Arial"/>
                <w:sz w:val="24"/>
                <w:szCs w:val="24"/>
              </w:rPr>
            </w:pPr>
            <w:r w:rsidRPr="00200F48">
              <w:rPr>
                <w:rFonts w:ascii="Arial" w:hAnsi="Arial" w:cs="Arial"/>
                <w:sz w:val="24"/>
                <w:szCs w:val="24"/>
              </w:rPr>
              <w:t xml:space="preserve">Zgodnie ze strategią „Strategia na rzecz Odpowiedzialnego Rozwoju do roku 2020 (z perspektywą do 2030 r.)” jednym z jej efektów jest państwo bardziej przyjazne dla obywateli i przedsiębiorców w strefie instytucjonalnej, co zawarte jest w Celu Szczegółowym III Skuteczne państwo i instytucje służące wzrostowi oraz </w:t>
            </w:r>
            <w:proofErr w:type="gramStart"/>
            <w:r w:rsidRPr="00200F48">
              <w:rPr>
                <w:rFonts w:ascii="Arial" w:hAnsi="Arial" w:cs="Arial"/>
                <w:sz w:val="24"/>
                <w:szCs w:val="24"/>
              </w:rPr>
              <w:t>włączeniu  społecznemu</w:t>
            </w:r>
            <w:proofErr w:type="gramEnd"/>
            <w:r w:rsidRPr="00200F48">
              <w:rPr>
                <w:rFonts w:ascii="Arial" w:hAnsi="Arial" w:cs="Arial"/>
                <w:sz w:val="24"/>
                <w:szCs w:val="24"/>
              </w:rPr>
              <w:t xml:space="preserve"> i gospodarczemu. Konieczne </w:t>
            </w:r>
            <w:proofErr w:type="gramStart"/>
            <w:r w:rsidRPr="00200F48">
              <w:rPr>
                <w:rFonts w:ascii="Arial" w:hAnsi="Arial" w:cs="Arial"/>
                <w:sz w:val="24"/>
                <w:szCs w:val="24"/>
              </w:rPr>
              <w:t>jest zatem</w:t>
            </w:r>
            <w:proofErr w:type="gramEnd"/>
            <w:r w:rsidRPr="00200F48">
              <w:rPr>
                <w:rFonts w:ascii="Arial" w:hAnsi="Arial" w:cs="Arial"/>
                <w:sz w:val="24"/>
                <w:szCs w:val="24"/>
              </w:rPr>
              <w:t xml:space="preserve"> poprawienie sprawności prowadzenia postępowań sądowych. Celem podejmowanych działań jest przede wszystkim skuteczne zwiększanie poziomu wydajności pracy kadry orzeczniczej i rzetelna identyfikacja potrzeb szkoleniowych. </w:t>
            </w:r>
          </w:p>
          <w:p w14:paraId="7368371E" w14:textId="77777777" w:rsidR="00200F48" w:rsidRPr="00200F48" w:rsidRDefault="00200F48" w:rsidP="00200F48">
            <w:pPr>
              <w:spacing w:before="120" w:after="120" w:line="360" w:lineRule="auto"/>
              <w:ind w:left="176" w:right="141"/>
              <w:rPr>
                <w:rFonts w:ascii="Arial" w:hAnsi="Arial" w:cs="Arial"/>
                <w:sz w:val="24"/>
                <w:szCs w:val="24"/>
              </w:rPr>
            </w:pPr>
            <w:r w:rsidRPr="00200F48">
              <w:rPr>
                <w:rFonts w:ascii="Arial" w:hAnsi="Arial" w:cs="Arial"/>
                <w:sz w:val="24"/>
                <w:szCs w:val="24"/>
              </w:rPr>
              <w:t>Wśród zasadniczych działań ukierunkowanych na wsparcie interwencji publicznej, które dotychczas zostały zrealizowane przez Krajową Szkołę Sądownictwa i Prokuratury należy wymienić:</w:t>
            </w:r>
          </w:p>
          <w:p w14:paraId="00176700" w14:textId="77777777" w:rsidR="00200F48" w:rsidRPr="00200F48" w:rsidRDefault="00200F48" w:rsidP="00200F48">
            <w:pPr>
              <w:numPr>
                <w:ilvl w:val="0"/>
                <w:numId w:val="19"/>
              </w:numPr>
              <w:spacing w:before="120" w:after="120" w:line="360" w:lineRule="auto"/>
              <w:ind w:left="601" w:right="141"/>
              <w:rPr>
                <w:rFonts w:ascii="Arial" w:hAnsi="Arial" w:cs="Arial"/>
                <w:sz w:val="24"/>
                <w:szCs w:val="24"/>
              </w:rPr>
            </w:pPr>
            <w:r w:rsidRPr="00200F48">
              <w:rPr>
                <w:rFonts w:ascii="Arial" w:hAnsi="Arial" w:cs="Arial"/>
                <w:sz w:val="24"/>
                <w:szCs w:val="24"/>
              </w:rPr>
              <w:t xml:space="preserve">Modernizacja Platformy Szkoleniowej </w:t>
            </w:r>
            <w:proofErr w:type="spellStart"/>
            <w:r w:rsidRPr="00200F48">
              <w:rPr>
                <w:rFonts w:ascii="Arial" w:hAnsi="Arial" w:cs="Arial"/>
                <w:sz w:val="24"/>
                <w:szCs w:val="24"/>
              </w:rPr>
              <w:t>KSSiP</w:t>
            </w:r>
            <w:proofErr w:type="spellEnd"/>
            <w:r w:rsidRPr="00200F48">
              <w:rPr>
                <w:rFonts w:ascii="Arial" w:hAnsi="Arial" w:cs="Arial"/>
                <w:sz w:val="24"/>
                <w:szCs w:val="24"/>
              </w:rPr>
              <w:t xml:space="preserve"> (portalu e-</w:t>
            </w:r>
            <w:proofErr w:type="spellStart"/>
            <w:r w:rsidRPr="00200F48">
              <w:rPr>
                <w:rFonts w:ascii="Arial" w:hAnsi="Arial" w:cs="Arial"/>
                <w:sz w:val="24"/>
                <w:szCs w:val="24"/>
              </w:rPr>
              <w:t>KSSiP</w:t>
            </w:r>
            <w:proofErr w:type="spellEnd"/>
            <w:r w:rsidRPr="00200F48">
              <w:rPr>
                <w:rFonts w:ascii="Arial" w:hAnsi="Arial" w:cs="Arial"/>
                <w:sz w:val="24"/>
                <w:szCs w:val="24"/>
              </w:rPr>
              <w:t xml:space="preserve">) w celu zwiększenia dostępu do oferty szkoleń stacjonarnych i e-learningowych </w:t>
            </w:r>
            <w:proofErr w:type="spellStart"/>
            <w:r w:rsidRPr="00200F48">
              <w:rPr>
                <w:rFonts w:ascii="Arial" w:hAnsi="Arial" w:cs="Arial"/>
                <w:sz w:val="24"/>
                <w:szCs w:val="24"/>
              </w:rPr>
              <w:t>KSSiP</w:t>
            </w:r>
            <w:proofErr w:type="spellEnd"/>
            <w:r w:rsidRPr="00200F48">
              <w:rPr>
                <w:rFonts w:ascii="Arial" w:hAnsi="Arial" w:cs="Arial"/>
                <w:sz w:val="24"/>
                <w:szCs w:val="24"/>
              </w:rPr>
              <w:t xml:space="preserve"> w ramach projektu „Wdrożenie nowoczesnych metod badania potrzeb szkoleniowych i kształcenia kluczem do skutecznego wymiaru sprawiedliwości” (Działanie 2.17 PO WER) – opracowanie portalu e-</w:t>
            </w:r>
            <w:proofErr w:type="spellStart"/>
            <w:r w:rsidRPr="00200F48">
              <w:rPr>
                <w:rFonts w:ascii="Arial" w:hAnsi="Arial" w:cs="Arial"/>
                <w:sz w:val="24"/>
                <w:szCs w:val="24"/>
              </w:rPr>
              <w:t>KSSiP</w:t>
            </w:r>
            <w:proofErr w:type="spellEnd"/>
            <w:r w:rsidRPr="00200F48">
              <w:rPr>
                <w:rFonts w:ascii="Arial" w:hAnsi="Arial" w:cs="Arial"/>
                <w:sz w:val="24"/>
                <w:szCs w:val="24"/>
              </w:rPr>
              <w:t xml:space="preserve"> w celu wprowadzenia nowoczesnych technologii oraz zwiększenia standardu </w:t>
            </w:r>
            <w:r w:rsidRPr="00200F48">
              <w:rPr>
                <w:rFonts w:ascii="Arial" w:hAnsi="Arial" w:cs="Arial"/>
                <w:sz w:val="24"/>
                <w:szCs w:val="24"/>
              </w:rPr>
              <w:lastRenderedPageBreak/>
              <w:t>dostępności on-line do szkoleń;</w:t>
            </w:r>
          </w:p>
          <w:p w14:paraId="1CD70A19" w14:textId="77777777" w:rsidR="00200F48" w:rsidRPr="00200F48" w:rsidRDefault="00200F48" w:rsidP="00200F48">
            <w:pPr>
              <w:numPr>
                <w:ilvl w:val="0"/>
                <w:numId w:val="19"/>
              </w:numPr>
              <w:spacing w:before="120" w:after="120" w:line="360" w:lineRule="auto"/>
              <w:ind w:left="601" w:right="141"/>
              <w:rPr>
                <w:rFonts w:ascii="Arial" w:hAnsi="Arial" w:cs="Arial"/>
                <w:sz w:val="24"/>
                <w:szCs w:val="24"/>
              </w:rPr>
            </w:pPr>
            <w:r w:rsidRPr="00200F48">
              <w:rPr>
                <w:rFonts w:ascii="Arial" w:hAnsi="Arial" w:cs="Arial"/>
                <w:sz w:val="24"/>
                <w:szCs w:val="24"/>
              </w:rPr>
              <w:t>„Doskonalenie zawodowe pracowników wymiaru sprawiedliwości” (Priorytet V, Działanie 5.3, PO KL) – opracowanie w 2011 roku projektu profesjonalnej analizy potrzeb szkoleniowych – opracowanie narzędzi do badania potrzeb szkoleniowych;</w:t>
            </w:r>
          </w:p>
          <w:p w14:paraId="00AB232D" w14:textId="77777777" w:rsidR="00200F48" w:rsidRPr="00200F48" w:rsidRDefault="00200F48" w:rsidP="00200F48">
            <w:pPr>
              <w:numPr>
                <w:ilvl w:val="0"/>
                <w:numId w:val="19"/>
              </w:numPr>
              <w:spacing w:before="120" w:after="120" w:line="360" w:lineRule="auto"/>
              <w:ind w:left="601" w:right="141"/>
              <w:rPr>
                <w:rFonts w:ascii="Arial" w:hAnsi="Arial" w:cs="Arial"/>
                <w:sz w:val="24"/>
                <w:szCs w:val="24"/>
              </w:rPr>
            </w:pPr>
            <w:r w:rsidRPr="00200F48">
              <w:rPr>
                <w:rFonts w:ascii="Arial" w:hAnsi="Arial" w:cs="Arial"/>
                <w:sz w:val="24"/>
                <w:szCs w:val="24"/>
              </w:rPr>
              <w:t>„Szkolenia z zakresu prawa gospodarczego i cywilnego dla kluczowych kadr sądownictwa” (Działanie 2.17, POWER) – opracowanie programów oraz realizacja szkoleń z zakresu prawa cywilnego z elementami prawa gospodarczego.</w:t>
            </w:r>
          </w:p>
        </w:tc>
      </w:tr>
      <w:tr w:rsidR="00200F48" w:rsidRPr="00200F48" w14:paraId="10A1C580" w14:textId="77777777" w:rsidTr="00B81D3B">
        <w:trPr>
          <w:trHeight w:val="567"/>
        </w:trPr>
        <w:tc>
          <w:tcPr>
            <w:tcW w:w="9356" w:type="dxa"/>
            <w:gridSpan w:val="18"/>
            <w:tcBorders>
              <w:top w:val="single" w:sz="4" w:space="0" w:color="auto"/>
              <w:bottom w:val="single" w:sz="4" w:space="0" w:color="auto"/>
            </w:tcBorders>
            <w:shd w:val="clear" w:color="auto" w:fill="CCC0D9"/>
            <w:vAlign w:val="center"/>
          </w:tcPr>
          <w:p w14:paraId="4DB4154B"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lastRenderedPageBreak/>
              <w:t>Uwarunkowania skutecznej realizacji założeń interwencji publicznej (interesariusze, stan prawny, itd.)</w:t>
            </w:r>
          </w:p>
        </w:tc>
      </w:tr>
      <w:tr w:rsidR="00200F48" w:rsidRPr="00200F48" w14:paraId="11A51854" w14:textId="77777777" w:rsidTr="00B81D3B">
        <w:trPr>
          <w:trHeight w:val="567"/>
        </w:trPr>
        <w:tc>
          <w:tcPr>
            <w:tcW w:w="9356" w:type="dxa"/>
            <w:gridSpan w:val="18"/>
            <w:tcBorders>
              <w:top w:val="single" w:sz="4" w:space="0" w:color="auto"/>
              <w:bottom w:val="single" w:sz="4" w:space="0" w:color="auto"/>
            </w:tcBorders>
            <w:shd w:val="clear" w:color="auto" w:fill="auto"/>
            <w:vAlign w:val="center"/>
          </w:tcPr>
          <w:p w14:paraId="29227E84" w14:textId="77777777" w:rsidR="00200F48" w:rsidRPr="00200F48" w:rsidRDefault="00200F48" w:rsidP="00200F48">
            <w:pPr>
              <w:spacing w:before="120" w:after="120" w:line="360" w:lineRule="auto"/>
              <w:ind w:left="176" w:right="141"/>
              <w:rPr>
                <w:rFonts w:ascii="Arial" w:hAnsi="Arial" w:cs="Arial"/>
                <w:sz w:val="24"/>
                <w:szCs w:val="24"/>
              </w:rPr>
            </w:pPr>
            <w:r w:rsidRPr="00200F48">
              <w:rPr>
                <w:rFonts w:ascii="Arial" w:hAnsi="Arial" w:cs="Arial"/>
                <w:sz w:val="24"/>
                <w:szCs w:val="24"/>
              </w:rPr>
              <w:t xml:space="preserve">Odbiorcy szkoleń organizowanych przez </w:t>
            </w:r>
            <w:proofErr w:type="spellStart"/>
            <w:r w:rsidRPr="00200F48">
              <w:rPr>
                <w:rFonts w:ascii="Arial" w:hAnsi="Arial" w:cs="Arial"/>
                <w:sz w:val="24"/>
                <w:szCs w:val="24"/>
              </w:rPr>
              <w:t>KSSiP</w:t>
            </w:r>
            <w:proofErr w:type="spellEnd"/>
            <w:r w:rsidRPr="00200F48">
              <w:rPr>
                <w:rFonts w:ascii="Arial" w:hAnsi="Arial" w:cs="Arial"/>
                <w:sz w:val="24"/>
                <w:szCs w:val="24"/>
              </w:rPr>
              <w:t xml:space="preserve"> (kadra wymiaru sprawiedliwości) ustawowo zobowiązani są do podnoszenia kwalifikacji zawodowych. Zgodnie z art. 98 ustawy z dnia 28 stycznia 2016 r. Prawo o prokuraturze (</w:t>
            </w:r>
            <w:proofErr w:type="spellStart"/>
            <w:r w:rsidRPr="00200F48">
              <w:rPr>
                <w:rFonts w:ascii="Arial" w:hAnsi="Arial" w:cs="Arial"/>
                <w:sz w:val="24"/>
                <w:szCs w:val="24"/>
              </w:rPr>
              <w:t>t.j</w:t>
            </w:r>
            <w:proofErr w:type="spellEnd"/>
            <w:r w:rsidRPr="00200F48">
              <w:rPr>
                <w:rFonts w:ascii="Arial" w:hAnsi="Arial" w:cs="Arial"/>
                <w:sz w:val="24"/>
                <w:szCs w:val="24"/>
              </w:rPr>
              <w:t xml:space="preserve">. Dz.U. 2019, </w:t>
            </w:r>
            <w:proofErr w:type="gramStart"/>
            <w:r w:rsidRPr="00200F48">
              <w:rPr>
                <w:rFonts w:ascii="Arial" w:hAnsi="Arial" w:cs="Arial"/>
                <w:sz w:val="24"/>
                <w:szCs w:val="24"/>
              </w:rPr>
              <w:t>poz</w:t>
            </w:r>
            <w:proofErr w:type="gramEnd"/>
            <w:r w:rsidRPr="00200F48">
              <w:rPr>
                <w:rFonts w:ascii="Arial" w:hAnsi="Arial" w:cs="Arial"/>
                <w:sz w:val="24"/>
                <w:szCs w:val="24"/>
              </w:rPr>
              <w:t>. 740 ze zm.) prokurator jest obowiązany stale podnosić kwalifikacje zawodowe, w tym uczestniczyć w szkoleniach i innych formach doskonalenia zawodowego. Art. 82a § 1 ustawy z dnia 27 lipca 2001 r. Prawo o ustroju sądów powszechnych (</w:t>
            </w:r>
            <w:proofErr w:type="spellStart"/>
            <w:r w:rsidRPr="00200F48">
              <w:rPr>
                <w:rFonts w:ascii="Arial" w:hAnsi="Arial" w:cs="Arial"/>
                <w:sz w:val="24"/>
                <w:szCs w:val="24"/>
              </w:rPr>
              <w:t>t.j</w:t>
            </w:r>
            <w:proofErr w:type="spellEnd"/>
            <w:r w:rsidRPr="00200F48">
              <w:rPr>
                <w:rFonts w:ascii="Arial" w:hAnsi="Arial" w:cs="Arial"/>
                <w:sz w:val="24"/>
                <w:szCs w:val="24"/>
              </w:rPr>
              <w:t xml:space="preserve">. Dz. U. </w:t>
            </w:r>
            <w:proofErr w:type="gramStart"/>
            <w:r w:rsidRPr="00200F48">
              <w:rPr>
                <w:rFonts w:ascii="Arial" w:hAnsi="Arial" w:cs="Arial"/>
                <w:sz w:val="24"/>
                <w:szCs w:val="24"/>
              </w:rPr>
              <w:t>z</w:t>
            </w:r>
            <w:proofErr w:type="gramEnd"/>
            <w:r w:rsidRPr="00200F48">
              <w:rPr>
                <w:rFonts w:ascii="Arial" w:hAnsi="Arial" w:cs="Arial"/>
                <w:sz w:val="24"/>
                <w:szCs w:val="24"/>
              </w:rPr>
              <w:t xml:space="preserve"> 2020 r. poz. 365 ze zm.) nakłada na sędziów obowiązek stałego podnoszenia kwalifikacji zawodowych. Natomiast § 3 ww. artykułu wskazuje, iż sędzia jest obowiązany uczestniczyć, w miarę możliwości corocznie, w szkoleniu i doskonaleniu zawodowym organizowanym przez Krajową Szkołę Sądownictwa i Prokuratury lub innych formach doskonalenia zawodowego, w celu uzupełnienia specjalistycznej wiedzy i umiejętności zawodowych. </w:t>
            </w:r>
          </w:p>
          <w:p w14:paraId="2B5C5E94" w14:textId="77777777" w:rsidR="00200F48" w:rsidRPr="00200F48" w:rsidRDefault="00200F48" w:rsidP="00200F48">
            <w:pPr>
              <w:spacing w:before="120" w:after="120" w:line="360" w:lineRule="auto"/>
              <w:ind w:left="176" w:right="142"/>
              <w:rPr>
                <w:rFonts w:ascii="Arial" w:hAnsi="Arial" w:cs="Arial"/>
                <w:b/>
                <w:sz w:val="24"/>
                <w:szCs w:val="24"/>
              </w:rPr>
            </w:pPr>
            <w:r w:rsidRPr="00200F48">
              <w:rPr>
                <w:rFonts w:ascii="Arial" w:hAnsi="Arial" w:cs="Arial"/>
                <w:sz w:val="24"/>
                <w:szCs w:val="24"/>
              </w:rPr>
              <w:t xml:space="preserve">Obecny stan prawny pozwala na rozpoczęcie prac przygotowawczych do realizacji projektu. Warunkiem skutecznej realizacji projektu jest także zaangażowanie wszystkich interesariuszy tj. sądów powszechnych i jednostek prokuratury oraz sędziów, </w:t>
            </w:r>
            <w:proofErr w:type="gramStart"/>
            <w:r w:rsidRPr="00200F48">
              <w:rPr>
                <w:rFonts w:ascii="Arial" w:hAnsi="Arial" w:cs="Arial"/>
                <w:sz w:val="24"/>
                <w:szCs w:val="24"/>
              </w:rPr>
              <w:t>asesorów</w:t>
            </w:r>
            <w:proofErr w:type="gramEnd"/>
            <w:r w:rsidRPr="00200F48">
              <w:rPr>
                <w:rFonts w:ascii="Arial" w:hAnsi="Arial" w:cs="Arial"/>
                <w:sz w:val="24"/>
                <w:szCs w:val="24"/>
              </w:rPr>
              <w:t xml:space="preserve"> sądowych, referendarzy sądowych i asystentów sędziego, prokuratorów, asesorów prokuratury i asystentów prokuratorów. Potencjał kadrowy i zasoby techniczne </w:t>
            </w:r>
            <w:proofErr w:type="spellStart"/>
            <w:r w:rsidRPr="00200F48">
              <w:rPr>
                <w:rFonts w:ascii="Arial" w:hAnsi="Arial" w:cs="Arial"/>
                <w:sz w:val="24"/>
                <w:szCs w:val="24"/>
              </w:rPr>
              <w:t>KSSiP</w:t>
            </w:r>
            <w:proofErr w:type="spellEnd"/>
            <w:r w:rsidRPr="00200F48">
              <w:rPr>
                <w:rFonts w:ascii="Arial" w:hAnsi="Arial" w:cs="Arial"/>
                <w:sz w:val="24"/>
                <w:szCs w:val="24"/>
              </w:rPr>
              <w:t xml:space="preserve"> pozwalają na skuteczną realizację projektu.</w:t>
            </w:r>
          </w:p>
        </w:tc>
      </w:tr>
      <w:tr w:rsidR="00200F48" w:rsidRPr="00200F48" w14:paraId="5AB851A0" w14:textId="77777777" w:rsidTr="00B81D3B">
        <w:trPr>
          <w:trHeight w:val="567"/>
        </w:trPr>
        <w:tc>
          <w:tcPr>
            <w:tcW w:w="9356" w:type="dxa"/>
            <w:gridSpan w:val="18"/>
            <w:tcBorders>
              <w:top w:val="single" w:sz="4" w:space="0" w:color="auto"/>
              <w:bottom w:val="single" w:sz="4" w:space="0" w:color="auto"/>
            </w:tcBorders>
            <w:shd w:val="clear" w:color="auto" w:fill="CCC0D9"/>
            <w:vAlign w:val="center"/>
          </w:tcPr>
          <w:p w14:paraId="05A309B6"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 xml:space="preserve">Dalsze etapy planowane do wdrożenia poza projektem, o ile zostaną spełnione </w:t>
            </w:r>
            <w:r w:rsidRPr="00200F48">
              <w:rPr>
                <w:rFonts w:ascii="Arial" w:hAnsi="Arial" w:cs="Arial"/>
                <w:sz w:val="24"/>
                <w:szCs w:val="24"/>
              </w:rPr>
              <w:lastRenderedPageBreak/>
              <w:t>warunki umożliwiające ich skuteczne wykonanie</w:t>
            </w:r>
          </w:p>
        </w:tc>
      </w:tr>
      <w:tr w:rsidR="00200F48" w:rsidRPr="00200F48" w14:paraId="2BF8FA73" w14:textId="77777777" w:rsidTr="00B81D3B">
        <w:trPr>
          <w:trHeight w:val="567"/>
        </w:trPr>
        <w:tc>
          <w:tcPr>
            <w:tcW w:w="9356" w:type="dxa"/>
            <w:gridSpan w:val="18"/>
            <w:tcBorders>
              <w:top w:val="single" w:sz="4" w:space="0" w:color="auto"/>
              <w:bottom w:val="single" w:sz="12" w:space="0" w:color="auto"/>
            </w:tcBorders>
            <w:shd w:val="clear" w:color="auto" w:fill="auto"/>
            <w:vAlign w:val="center"/>
          </w:tcPr>
          <w:p w14:paraId="6C203E0A" w14:textId="77777777" w:rsidR="00200F48" w:rsidRPr="00200F48" w:rsidRDefault="00200F48" w:rsidP="00200F48">
            <w:pPr>
              <w:spacing w:before="120" w:after="120" w:line="360" w:lineRule="auto"/>
              <w:ind w:left="178" w:right="177"/>
              <w:rPr>
                <w:rFonts w:ascii="Arial" w:hAnsi="Arial" w:cs="Arial"/>
                <w:b/>
                <w:sz w:val="24"/>
                <w:szCs w:val="24"/>
              </w:rPr>
            </w:pPr>
            <w:r w:rsidRPr="00200F48">
              <w:rPr>
                <w:rFonts w:ascii="Arial" w:hAnsi="Arial" w:cs="Arial"/>
                <w:sz w:val="24"/>
                <w:szCs w:val="24"/>
              </w:rPr>
              <w:lastRenderedPageBreak/>
              <w:t xml:space="preserve">Programy szkoleniowe opracowane w ramach niniejszego projektu będą stale aktualizowane i wykorzystywane w ustawicznej działalności </w:t>
            </w:r>
            <w:proofErr w:type="spellStart"/>
            <w:r w:rsidRPr="00200F48">
              <w:rPr>
                <w:rFonts w:ascii="Arial" w:hAnsi="Arial" w:cs="Arial"/>
                <w:sz w:val="24"/>
                <w:szCs w:val="24"/>
              </w:rPr>
              <w:t>KSSiP</w:t>
            </w:r>
            <w:proofErr w:type="spellEnd"/>
            <w:r w:rsidRPr="00200F48">
              <w:rPr>
                <w:rFonts w:ascii="Arial" w:hAnsi="Arial" w:cs="Arial"/>
                <w:sz w:val="24"/>
                <w:szCs w:val="24"/>
              </w:rPr>
              <w:t xml:space="preserve"> w kolejnych latach. Szkolenia e-learningowe zostaną zamieszczone na platformie e-</w:t>
            </w:r>
            <w:proofErr w:type="spellStart"/>
            <w:r w:rsidRPr="00200F48">
              <w:rPr>
                <w:rFonts w:ascii="Arial" w:hAnsi="Arial" w:cs="Arial"/>
                <w:sz w:val="24"/>
                <w:szCs w:val="24"/>
              </w:rPr>
              <w:t>KSSiP</w:t>
            </w:r>
            <w:proofErr w:type="spellEnd"/>
            <w:r w:rsidRPr="00200F48">
              <w:rPr>
                <w:rFonts w:ascii="Arial" w:hAnsi="Arial" w:cs="Arial"/>
                <w:sz w:val="24"/>
                <w:szCs w:val="24"/>
              </w:rPr>
              <w:t xml:space="preserve"> i udostępnione wszystkim użytkownikom. Realizacja projektu umożliwi dopasowanie oferty kształcenia do potrzeb wymiaru sprawiedliwości poprzez zwiększenie liczby szkoleń specjalistycznych oferowanych przez </w:t>
            </w:r>
            <w:proofErr w:type="spellStart"/>
            <w:r w:rsidRPr="00200F48">
              <w:rPr>
                <w:rFonts w:ascii="Arial" w:hAnsi="Arial" w:cs="Arial"/>
                <w:sz w:val="24"/>
                <w:szCs w:val="24"/>
              </w:rPr>
              <w:t>KSSiP</w:t>
            </w:r>
            <w:proofErr w:type="spellEnd"/>
            <w:r w:rsidRPr="00200F48">
              <w:rPr>
                <w:rFonts w:ascii="Arial" w:hAnsi="Arial" w:cs="Arial"/>
                <w:sz w:val="24"/>
                <w:szCs w:val="24"/>
              </w:rPr>
              <w:t>.</w:t>
            </w:r>
          </w:p>
        </w:tc>
      </w:tr>
      <w:tr w:rsidR="00200F48" w:rsidRPr="00200F48" w14:paraId="44872063" w14:textId="77777777" w:rsidTr="00B81D3B">
        <w:trPr>
          <w:trHeight w:val="396"/>
        </w:trPr>
        <w:tc>
          <w:tcPr>
            <w:tcW w:w="9356" w:type="dxa"/>
            <w:gridSpan w:val="18"/>
            <w:tcBorders>
              <w:top w:val="single" w:sz="12" w:space="0" w:color="auto"/>
              <w:bottom w:val="single" w:sz="12" w:space="0" w:color="auto"/>
            </w:tcBorders>
            <w:shd w:val="clear" w:color="auto" w:fill="CCC0D9"/>
            <w:vAlign w:val="center"/>
          </w:tcPr>
          <w:p w14:paraId="09ACC826"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ZAKŁADANE EFEKTY PROJEKTU WYRAŻONE WSKAŹNIKAMI (W PODZIALE NA PŁEĆ I OGÓŁEM)</w:t>
            </w:r>
          </w:p>
        </w:tc>
      </w:tr>
      <w:tr w:rsidR="00200F48" w:rsidRPr="00200F48" w14:paraId="01879C87" w14:textId="77777777" w:rsidTr="00B81D3B">
        <w:trPr>
          <w:trHeight w:val="455"/>
        </w:trPr>
        <w:tc>
          <w:tcPr>
            <w:tcW w:w="9356" w:type="dxa"/>
            <w:gridSpan w:val="18"/>
            <w:tcBorders>
              <w:top w:val="single" w:sz="12" w:space="0" w:color="auto"/>
              <w:bottom w:val="single" w:sz="12" w:space="0" w:color="auto"/>
            </w:tcBorders>
            <w:shd w:val="clear" w:color="auto" w:fill="CCC0D9"/>
            <w:vAlign w:val="center"/>
          </w:tcPr>
          <w:p w14:paraId="0EF253DA"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WSKAŹNIKI REZULTATU</w:t>
            </w:r>
          </w:p>
        </w:tc>
      </w:tr>
      <w:tr w:rsidR="00200F48" w:rsidRPr="00200F48" w14:paraId="68F0D144" w14:textId="77777777" w:rsidTr="00B81D3B">
        <w:trPr>
          <w:trHeight w:val="567"/>
        </w:trPr>
        <w:tc>
          <w:tcPr>
            <w:tcW w:w="4247" w:type="dxa"/>
            <w:gridSpan w:val="9"/>
            <w:vMerge w:val="restart"/>
            <w:tcBorders>
              <w:top w:val="single" w:sz="12" w:space="0" w:color="auto"/>
              <w:right w:val="single" w:sz="6" w:space="0" w:color="auto"/>
            </w:tcBorders>
            <w:shd w:val="clear" w:color="auto" w:fill="CCC0D9"/>
            <w:vAlign w:val="center"/>
          </w:tcPr>
          <w:p w14:paraId="4A8CA1B6"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Nazwa wskaźnika</w:t>
            </w:r>
          </w:p>
        </w:tc>
        <w:tc>
          <w:tcPr>
            <w:tcW w:w="5109" w:type="dxa"/>
            <w:gridSpan w:val="9"/>
            <w:tcBorders>
              <w:top w:val="single" w:sz="12" w:space="0" w:color="auto"/>
              <w:left w:val="single" w:sz="6" w:space="0" w:color="auto"/>
              <w:bottom w:val="single" w:sz="6" w:space="0" w:color="auto"/>
            </w:tcBorders>
            <w:shd w:val="clear" w:color="auto" w:fill="CCC0D9"/>
            <w:vAlign w:val="center"/>
          </w:tcPr>
          <w:p w14:paraId="1024A594"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Wartość docelowa</w:t>
            </w:r>
          </w:p>
        </w:tc>
      </w:tr>
      <w:tr w:rsidR="00200F48" w:rsidRPr="00200F48" w14:paraId="55A99A7D" w14:textId="77777777" w:rsidTr="00B81D3B">
        <w:trPr>
          <w:trHeight w:val="567"/>
        </w:trPr>
        <w:tc>
          <w:tcPr>
            <w:tcW w:w="4247" w:type="dxa"/>
            <w:gridSpan w:val="9"/>
            <w:vMerge/>
            <w:tcBorders>
              <w:right w:val="single" w:sz="6" w:space="0" w:color="auto"/>
            </w:tcBorders>
            <w:shd w:val="clear" w:color="auto" w:fill="CCC0D9"/>
            <w:vAlign w:val="center"/>
          </w:tcPr>
          <w:p w14:paraId="799907E0" w14:textId="77777777" w:rsidR="00200F48" w:rsidRPr="00200F48" w:rsidRDefault="00200F48" w:rsidP="00200F48">
            <w:pPr>
              <w:spacing w:before="120" w:after="120" w:line="360" w:lineRule="auto"/>
              <w:rPr>
                <w:rFonts w:ascii="Arial" w:hAnsi="Arial" w:cs="Arial"/>
                <w:sz w:val="24"/>
                <w:szCs w:val="24"/>
              </w:rPr>
            </w:pPr>
          </w:p>
        </w:tc>
        <w:tc>
          <w:tcPr>
            <w:tcW w:w="3119" w:type="dxa"/>
            <w:gridSpan w:val="7"/>
            <w:tcBorders>
              <w:top w:val="single" w:sz="6" w:space="0" w:color="auto"/>
              <w:left w:val="single" w:sz="6" w:space="0" w:color="auto"/>
              <w:bottom w:val="single" w:sz="6" w:space="0" w:color="auto"/>
              <w:right w:val="single" w:sz="6" w:space="0" w:color="auto"/>
            </w:tcBorders>
            <w:shd w:val="clear" w:color="auto" w:fill="CCC0D9"/>
            <w:vAlign w:val="center"/>
          </w:tcPr>
          <w:p w14:paraId="7ED004F9"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W podziale na:</w:t>
            </w:r>
            <w:r w:rsidRPr="00200F48">
              <w:rPr>
                <w:rFonts w:ascii="Arial" w:hAnsi="Arial" w:cs="Arial"/>
                <w:sz w:val="24"/>
                <w:szCs w:val="24"/>
                <w:vertAlign w:val="superscript"/>
              </w:rPr>
              <w:footnoteReference w:id="15"/>
            </w:r>
          </w:p>
        </w:tc>
        <w:tc>
          <w:tcPr>
            <w:tcW w:w="1990" w:type="dxa"/>
            <w:gridSpan w:val="2"/>
            <w:vMerge w:val="restart"/>
            <w:tcBorders>
              <w:top w:val="single" w:sz="6" w:space="0" w:color="auto"/>
              <w:left w:val="single" w:sz="6" w:space="0" w:color="auto"/>
            </w:tcBorders>
            <w:shd w:val="clear" w:color="auto" w:fill="CCC0D9"/>
            <w:vAlign w:val="center"/>
          </w:tcPr>
          <w:p w14:paraId="0D5BB42E"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Ogółem w projekcie</w:t>
            </w:r>
          </w:p>
          <w:p w14:paraId="121BF599" w14:textId="77777777" w:rsidR="00200F48" w:rsidRPr="00200F48" w:rsidRDefault="00200F48" w:rsidP="00200F48">
            <w:pPr>
              <w:spacing w:before="120" w:after="120" w:line="360" w:lineRule="auto"/>
              <w:rPr>
                <w:rFonts w:ascii="Arial" w:hAnsi="Arial" w:cs="Arial"/>
                <w:sz w:val="24"/>
                <w:szCs w:val="24"/>
              </w:rPr>
            </w:pPr>
          </w:p>
        </w:tc>
      </w:tr>
      <w:tr w:rsidR="00200F48" w:rsidRPr="00200F48" w14:paraId="23439B58" w14:textId="77777777" w:rsidTr="00B81D3B">
        <w:trPr>
          <w:trHeight w:val="567"/>
        </w:trPr>
        <w:tc>
          <w:tcPr>
            <w:tcW w:w="4247" w:type="dxa"/>
            <w:gridSpan w:val="9"/>
            <w:vMerge/>
            <w:tcBorders>
              <w:bottom w:val="single" w:sz="6" w:space="0" w:color="auto"/>
              <w:right w:val="single" w:sz="6" w:space="0" w:color="auto"/>
            </w:tcBorders>
            <w:shd w:val="clear" w:color="auto" w:fill="CCC0D9"/>
            <w:vAlign w:val="center"/>
          </w:tcPr>
          <w:p w14:paraId="6698982E" w14:textId="77777777" w:rsidR="00200F48" w:rsidRPr="00200F48" w:rsidRDefault="00200F48" w:rsidP="00200F48">
            <w:pPr>
              <w:spacing w:before="120" w:after="120" w:line="360" w:lineRule="auto"/>
              <w:rPr>
                <w:rFonts w:ascii="Arial" w:hAnsi="Arial" w:cs="Arial"/>
                <w:sz w:val="24"/>
                <w:szCs w:val="24"/>
              </w:rPr>
            </w:pPr>
          </w:p>
        </w:tc>
        <w:tc>
          <w:tcPr>
            <w:tcW w:w="1559" w:type="dxa"/>
            <w:gridSpan w:val="4"/>
            <w:tcBorders>
              <w:top w:val="single" w:sz="6" w:space="0" w:color="auto"/>
              <w:left w:val="single" w:sz="6" w:space="0" w:color="auto"/>
              <w:bottom w:val="single" w:sz="6" w:space="0" w:color="auto"/>
              <w:right w:val="single" w:sz="6" w:space="0" w:color="auto"/>
            </w:tcBorders>
            <w:shd w:val="clear" w:color="auto" w:fill="CCC0D9"/>
            <w:vAlign w:val="center"/>
          </w:tcPr>
          <w:p w14:paraId="071316B3"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025A796B"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Mężczyzn</w:t>
            </w:r>
          </w:p>
        </w:tc>
        <w:tc>
          <w:tcPr>
            <w:tcW w:w="1990" w:type="dxa"/>
            <w:gridSpan w:val="2"/>
            <w:vMerge/>
            <w:tcBorders>
              <w:left w:val="single" w:sz="6" w:space="0" w:color="auto"/>
              <w:bottom w:val="single" w:sz="6" w:space="0" w:color="auto"/>
            </w:tcBorders>
            <w:shd w:val="clear" w:color="auto" w:fill="CCC0D9"/>
            <w:vAlign w:val="center"/>
          </w:tcPr>
          <w:p w14:paraId="63F0ADAC" w14:textId="77777777" w:rsidR="00200F48" w:rsidRPr="00200F48" w:rsidRDefault="00200F48" w:rsidP="00200F48">
            <w:pPr>
              <w:spacing w:before="120" w:after="120" w:line="360" w:lineRule="auto"/>
              <w:rPr>
                <w:rFonts w:ascii="Arial" w:hAnsi="Arial" w:cs="Arial"/>
                <w:sz w:val="24"/>
                <w:szCs w:val="24"/>
              </w:rPr>
            </w:pPr>
          </w:p>
        </w:tc>
      </w:tr>
      <w:tr w:rsidR="00200F48" w:rsidRPr="00200F48" w14:paraId="3C23F428" w14:textId="77777777" w:rsidTr="00B81D3B">
        <w:trPr>
          <w:trHeight w:val="433"/>
        </w:trPr>
        <w:tc>
          <w:tcPr>
            <w:tcW w:w="4247" w:type="dxa"/>
            <w:gridSpan w:val="9"/>
            <w:tcBorders>
              <w:top w:val="single" w:sz="6" w:space="0" w:color="auto"/>
              <w:bottom w:val="single" w:sz="6" w:space="0" w:color="auto"/>
              <w:right w:val="single" w:sz="6" w:space="0" w:color="auto"/>
            </w:tcBorders>
            <w:shd w:val="clear" w:color="auto" w:fill="FFFFFF"/>
            <w:vAlign w:val="center"/>
          </w:tcPr>
          <w:p w14:paraId="73AB531C" w14:textId="77777777" w:rsidR="00200F48" w:rsidRPr="00200F48" w:rsidRDefault="00200F48" w:rsidP="00200F48">
            <w:pPr>
              <w:tabs>
                <w:tab w:val="left" w:pos="0"/>
                <w:tab w:val="left" w:pos="34"/>
              </w:tabs>
              <w:spacing w:before="120" w:after="120" w:line="360" w:lineRule="auto"/>
              <w:rPr>
                <w:rFonts w:ascii="Arial" w:hAnsi="Arial" w:cs="Arial"/>
                <w:i/>
                <w:sz w:val="24"/>
                <w:szCs w:val="24"/>
              </w:rPr>
            </w:pPr>
          </w:p>
          <w:p w14:paraId="0EA058B4" w14:textId="77777777" w:rsidR="00200F48" w:rsidRPr="00200F48" w:rsidRDefault="00200F48" w:rsidP="00200F48">
            <w:pPr>
              <w:tabs>
                <w:tab w:val="left" w:pos="0"/>
                <w:tab w:val="left" w:pos="34"/>
              </w:tabs>
              <w:spacing w:before="120" w:after="120" w:line="360" w:lineRule="auto"/>
              <w:rPr>
                <w:rFonts w:ascii="Arial" w:hAnsi="Arial" w:cs="Arial"/>
                <w:i/>
                <w:sz w:val="24"/>
                <w:szCs w:val="24"/>
              </w:rPr>
            </w:pPr>
            <w:r w:rsidRPr="00200F48">
              <w:rPr>
                <w:rFonts w:ascii="Arial" w:hAnsi="Arial" w:cs="Arial"/>
                <w:i/>
                <w:sz w:val="24"/>
                <w:szCs w:val="24"/>
              </w:rPr>
              <w:t>Liczba pracowników wymiaru sprawiedliwości, którzy podnieśli kompetencje w zakresie prawa cywilnego i gospodarczego</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877AADD" w14:textId="77777777" w:rsidR="00200F48" w:rsidRPr="00200F48" w:rsidRDefault="00200F48" w:rsidP="00200F48">
            <w:pPr>
              <w:spacing w:before="120" w:after="120" w:line="360" w:lineRule="auto"/>
              <w:rPr>
                <w:rFonts w:ascii="Arial" w:hAnsi="Arial" w:cs="Arial"/>
                <w:sz w:val="24"/>
                <w:szCs w:val="24"/>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1E29FF9" w14:textId="77777777" w:rsidR="00200F48" w:rsidRPr="00200F48" w:rsidRDefault="00200F48" w:rsidP="00200F48">
            <w:pPr>
              <w:spacing w:before="120" w:after="120" w:line="360" w:lineRule="auto"/>
              <w:rPr>
                <w:rFonts w:ascii="Arial" w:hAnsi="Arial" w:cs="Arial"/>
                <w:sz w:val="24"/>
                <w:szCs w:val="24"/>
              </w:rPr>
            </w:pPr>
          </w:p>
        </w:tc>
        <w:tc>
          <w:tcPr>
            <w:tcW w:w="1990" w:type="dxa"/>
            <w:gridSpan w:val="2"/>
            <w:tcBorders>
              <w:top w:val="single" w:sz="6" w:space="0" w:color="auto"/>
              <w:left w:val="single" w:sz="6" w:space="0" w:color="auto"/>
              <w:bottom w:val="single" w:sz="6" w:space="0" w:color="auto"/>
            </w:tcBorders>
            <w:shd w:val="clear" w:color="auto" w:fill="FFFFFF"/>
            <w:vAlign w:val="center"/>
          </w:tcPr>
          <w:p w14:paraId="4E1FFC6E"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720</w:t>
            </w:r>
          </w:p>
        </w:tc>
      </w:tr>
      <w:tr w:rsidR="00200F48" w:rsidRPr="00200F48" w14:paraId="349A93DE" w14:textId="77777777" w:rsidTr="00B81D3B">
        <w:trPr>
          <w:trHeight w:val="413"/>
        </w:trPr>
        <w:tc>
          <w:tcPr>
            <w:tcW w:w="4247" w:type="dxa"/>
            <w:gridSpan w:val="9"/>
            <w:tcBorders>
              <w:top w:val="single" w:sz="6" w:space="0" w:color="auto"/>
              <w:bottom w:val="single" w:sz="6" w:space="0" w:color="auto"/>
              <w:right w:val="single" w:sz="6" w:space="0" w:color="auto"/>
            </w:tcBorders>
            <w:shd w:val="clear" w:color="auto" w:fill="FFFFFF"/>
            <w:vAlign w:val="center"/>
          </w:tcPr>
          <w:p w14:paraId="4A5A8776" w14:textId="77777777" w:rsidR="00200F48" w:rsidRPr="00200F48" w:rsidRDefault="00200F48" w:rsidP="00200F48">
            <w:pPr>
              <w:tabs>
                <w:tab w:val="left" w:pos="0"/>
                <w:tab w:val="left" w:pos="34"/>
              </w:tabs>
              <w:spacing w:before="120" w:after="120" w:line="360" w:lineRule="auto"/>
              <w:ind w:right="3152"/>
              <w:rPr>
                <w:rFonts w:ascii="Arial" w:hAnsi="Arial" w:cs="Arial"/>
                <w:sz w:val="24"/>
                <w:szCs w:val="24"/>
              </w:rPr>
            </w:pP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E0B870C" w14:textId="77777777" w:rsidR="00200F48" w:rsidRPr="00200F48" w:rsidRDefault="00200F48" w:rsidP="00200F48">
            <w:pPr>
              <w:spacing w:before="120" w:after="120" w:line="360" w:lineRule="auto"/>
              <w:rPr>
                <w:rFonts w:ascii="Arial" w:hAnsi="Arial" w:cs="Arial"/>
                <w:sz w:val="24"/>
                <w:szCs w:val="24"/>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B488E48" w14:textId="77777777" w:rsidR="00200F48" w:rsidRPr="00200F48" w:rsidRDefault="00200F48" w:rsidP="00200F48">
            <w:pPr>
              <w:spacing w:before="120" w:after="120" w:line="360" w:lineRule="auto"/>
              <w:rPr>
                <w:rFonts w:ascii="Arial" w:hAnsi="Arial" w:cs="Arial"/>
                <w:sz w:val="24"/>
                <w:szCs w:val="24"/>
              </w:rPr>
            </w:pPr>
          </w:p>
        </w:tc>
        <w:tc>
          <w:tcPr>
            <w:tcW w:w="1990" w:type="dxa"/>
            <w:gridSpan w:val="2"/>
            <w:tcBorders>
              <w:top w:val="single" w:sz="6" w:space="0" w:color="auto"/>
              <w:left w:val="single" w:sz="6" w:space="0" w:color="auto"/>
              <w:bottom w:val="single" w:sz="6" w:space="0" w:color="auto"/>
            </w:tcBorders>
            <w:shd w:val="clear" w:color="auto" w:fill="FFFFFF"/>
            <w:vAlign w:val="center"/>
          </w:tcPr>
          <w:p w14:paraId="59873F77" w14:textId="77777777" w:rsidR="00200F48" w:rsidRPr="00200F48" w:rsidRDefault="00200F48" w:rsidP="00200F48">
            <w:pPr>
              <w:spacing w:before="120" w:after="120" w:line="360" w:lineRule="auto"/>
              <w:rPr>
                <w:rFonts w:ascii="Arial" w:hAnsi="Arial" w:cs="Arial"/>
                <w:sz w:val="24"/>
                <w:szCs w:val="24"/>
              </w:rPr>
            </w:pPr>
          </w:p>
        </w:tc>
      </w:tr>
      <w:tr w:rsidR="00200F48" w:rsidRPr="00200F48" w14:paraId="378CAD6D" w14:textId="77777777" w:rsidTr="00B81D3B">
        <w:trPr>
          <w:trHeight w:val="291"/>
        </w:trPr>
        <w:tc>
          <w:tcPr>
            <w:tcW w:w="4247" w:type="dxa"/>
            <w:gridSpan w:val="9"/>
            <w:tcBorders>
              <w:top w:val="single" w:sz="6" w:space="0" w:color="auto"/>
              <w:bottom w:val="single" w:sz="6" w:space="0" w:color="auto"/>
              <w:right w:val="single" w:sz="6" w:space="0" w:color="auto"/>
            </w:tcBorders>
            <w:shd w:val="clear" w:color="auto" w:fill="FFFFFF"/>
            <w:vAlign w:val="center"/>
          </w:tcPr>
          <w:p w14:paraId="29278B1C" w14:textId="77777777" w:rsidR="00200F48" w:rsidRPr="00200F48" w:rsidRDefault="00200F48" w:rsidP="00200F48">
            <w:pPr>
              <w:tabs>
                <w:tab w:val="left" w:pos="318"/>
              </w:tabs>
              <w:spacing w:before="120" w:after="120" w:line="360" w:lineRule="auto"/>
              <w:ind w:right="1451"/>
              <w:rPr>
                <w:rFonts w:ascii="Arial" w:hAnsi="Arial" w:cs="Arial"/>
                <w:sz w:val="24"/>
                <w:szCs w:val="24"/>
              </w:rPr>
            </w:pPr>
            <w:r w:rsidRPr="00200F48">
              <w:rPr>
                <w:rFonts w:ascii="Arial" w:hAnsi="Arial" w:cs="Arial"/>
                <w:sz w:val="24"/>
                <w:szCs w:val="24"/>
              </w:rPr>
              <w:t>…</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D107461" w14:textId="77777777" w:rsidR="00200F48" w:rsidRPr="00200F48" w:rsidRDefault="00200F48" w:rsidP="00200F48">
            <w:pPr>
              <w:spacing w:before="120" w:after="120" w:line="360" w:lineRule="auto"/>
              <w:rPr>
                <w:rFonts w:ascii="Arial" w:hAnsi="Arial" w:cs="Arial"/>
                <w:sz w:val="24"/>
                <w:szCs w:val="24"/>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B4DAAD2" w14:textId="77777777" w:rsidR="00200F48" w:rsidRPr="00200F48" w:rsidRDefault="00200F48" w:rsidP="00200F48">
            <w:pPr>
              <w:spacing w:before="120" w:after="120" w:line="360" w:lineRule="auto"/>
              <w:rPr>
                <w:rFonts w:ascii="Arial" w:hAnsi="Arial" w:cs="Arial"/>
                <w:sz w:val="24"/>
                <w:szCs w:val="24"/>
              </w:rPr>
            </w:pPr>
          </w:p>
        </w:tc>
        <w:tc>
          <w:tcPr>
            <w:tcW w:w="1990" w:type="dxa"/>
            <w:gridSpan w:val="2"/>
            <w:tcBorders>
              <w:top w:val="single" w:sz="6" w:space="0" w:color="auto"/>
              <w:left w:val="single" w:sz="6" w:space="0" w:color="auto"/>
              <w:bottom w:val="single" w:sz="6" w:space="0" w:color="auto"/>
            </w:tcBorders>
            <w:shd w:val="clear" w:color="auto" w:fill="FFFFFF"/>
            <w:vAlign w:val="center"/>
          </w:tcPr>
          <w:p w14:paraId="5D9EFE3F" w14:textId="77777777" w:rsidR="00200F48" w:rsidRPr="00200F48" w:rsidRDefault="00200F48" w:rsidP="00200F48">
            <w:pPr>
              <w:spacing w:before="120" w:after="120" w:line="360" w:lineRule="auto"/>
              <w:rPr>
                <w:rFonts w:ascii="Arial" w:hAnsi="Arial" w:cs="Arial"/>
                <w:sz w:val="24"/>
                <w:szCs w:val="24"/>
              </w:rPr>
            </w:pPr>
          </w:p>
        </w:tc>
      </w:tr>
      <w:tr w:rsidR="00200F48" w:rsidRPr="00200F48" w14:paraId="5229ED09" w14:textId="77777777" w:rsidTr="00B81D3B">
        <w:trPr>
          <w:trHeight w:val="567"/>
        </w:trPr>
        <w:tc>
          <w:tcPr>
            <w:tcW w:w="9356" w:type="dxa"/>
            <w:gridSpan w:val="18"/>
            <w:tcBorders>
              <w:top w:val="single" w:sz="12" w:space="0" w:color="auto"/>
              <w:bottom w:val="single" w:sz="12" w:space="0" w:color="auto"/>
            </w:tcBorders>
            <w:shd w:val="clear" w:color="auto" w:fill="CCC0D9"/>
            <w:vAlign w:val="center"/>
          </w:tcPr>
          <w:p w14:paraId="2AE5EFB6" w14:textId="77777777" w:rsidR="00200F48" w:rsidRPr="00200F48" w:rsidRDefault="00200F48" w:rsidP="00200F48">
            <w:pPr>
              <w:spacing w:before="120" w:after="120" w:line="360" w:lineRule="auto"/>
              <w:ind w:left="57"/>
              <w:rPr>
                <w:rFonts w:ascii="Arial" w:hAnsi="Arial" w:cs="Arial"/>
                <w:b/>
                <w:sz w:val="24"/>
                <w:szCs w:val="24"/>
              </w:rPr>
            </w:pPr>
            <w:r w:rsidRPr="00200F48">
              <w:rPr>
                <w:rFonts w:ascii="Arial" w:hAnsi="Arial" w:cs="Arial"/>
                <w:b/>
                <w:sz w:val="24"/>
                <w:szCs w:val="24"/>
              </w:rPr>
              <w:t>WSKAŹNIKI PRODUKTU</w:t>
            </w:r>
          </w:p>
        </w:tc>
      </w:tr>
      <w:tr w:rsidR="00200F48" w:rsidRPr="00200F48" w14:paraId="6E30A25D" w14:textId="77777777" w:rsidTr="00B81D3B">
        <w:trPr>
          <w:trHeight w:val="567"/>
        </w:trPr>
        <w:tc>
          <w:tcPr>
            <w:tcW w:w="4247" w:type="dxa"/>
            <w:gridSpan w:val="9"/>
            <w:vMerge w:val="restart"/>
            <w:tcBorders>
              <w:top w:val="single" w:sz="12" w:space="0" w:color="auto"/>
              <w:left w:val="single" w:sz="12" w:space="0" w:color="auto"/>
              <w:right w:val="single" w:sz="6" w:space="0" w:color="auto"/>
            </w:tcBorders>
            <w:shd w:val="clear" w:color="auto" w:fill="CCC0D9"/>
            <w:vAlign w:val="center"/>
          </w:tcPr>
          <w:p w14:paraId="2D775CE5"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Nazwa wskaźnika</w:t>
            </w:r>
          </w:p>
        </w:tc>
        <w:tc>
          <w:tcPr>
            <w:tcW w:w="5109" w:type="dxa"/>
            <w:gridSpan w:val="9"/>
            <w:tcBorders>
              <w:top w:val="single" w:sz="12" w:space="0" w:color="auto"/>
              <w:left w:val="single" w:sz="6" w:space="0" w:color="auto"/>
              <w:bottom w:val="single" w:sz="6" w:space="0" w:color="auto"/>
              <w:right w:val="single" w:sz="12" w:space="0" w:color="auto"/>
            </w:tcBorders>
            <w:shd w:val="clear" w:color="auto" w:fill="CCC0D9"/>
            <w:vAlign w:val="center"/>
          </w:tcPr>
          <w:p w14:paraId="573382E0"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Wartość docelowa</w:t>
            </w:r>
          </w:p>
        </w:tc>
      </w:tr>
      <w:tr w:rsidR="00200F48" w:rsidRPr="00200F48" w14:paraId="1CED5E7B" w14:textId="77777777" w:rsidTr="00B81D3B">
        <w:trPr>
          <w:trHeight w:val="567"/>
        </w:trPr>
        <w:tc>
          <w:tcPr>
            <w:tcW w:w="4247" w:type="dxa"/>
            <w:gridSpan w:val="9"/>
            <w:vMerge/>
            <w:tcBorders>
              <w:left w:val="single" w:sz="12" w:space="0" w:color="auto"/>
              <w:right w:val="single" w:sz="6" w:space="0" w:color="auto"/>
            </w:tcBorders>
            <w:shd w:val="clear" w:color="auto" w:fill="CCC0D9"/>
            <w:vAlign w:val="center"/>
          </w:tcPr>
          <w:p w14:paraId="5AD1C591" w14:textId="77777777" w:rsidR="00200F48" w:rsidRPr="00200F48" w:rsidRDefault="00200F48" w:rsidP="00200F48">
            <w:pPr>
              <w:spacing w:before="120" w:after="120" w:line="360" w:lineRule="auto"/>
              <w:ind w:left="57"/>
              <w:rPr>
                <w:rFonts w:ascii="Arial" w:hAnsi="Arial" w:cs="Arial"/>
                <w:b/>
                <w:sz w:val="24"/>
                <w:szCs w:val="24"/>
              </w:rPr>
            </w:pPr>
          </w:p>
        </w:tc>
        <w:tc>
          <w:tcPr>
            <w:tcW w:w="3119" w:type="dxa"/>
            <w:gridSpan w:val="7"/>
            <w:tcBorders>
              <w:top w:val="single" w:sz="6" w:space="0" w:color="auto"/>
              <w:left w:val="single" w:sz="6" w:space="0" w:color="auto"/>
              <w:bottom w:val="single" w:sz="6" w:space="0" w:color="auto"/>
              <w:right w:val="single" w:sz="6" w:space="0" w:color="auto"/>
            </w:tcBorders>
            <w:shd w:val="clear" w:color="auto" w:fill="CCC0D9"/>
            <w:vAlign w:val="center"/>
          </w:tcPr>
          <w:p w14:paraId="3C952836"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W podziale na:</w:t>
            </w:r>
            <w:r w:rsidRPr="00200F48">
              <w:rPr>
                <w:rFonts w:ascii="Arial" w:hAnsi="Arial" w:cs="Arial"/>
                <w:sz w:val="24"/>
                <w:szCs w:val="24"/>
                <w:vertAlign w:val="superscript"/>
              </w:rPr>
              <w:footnoteReference w:id="16"/>
            </w:r>
          </w:p>
        </w:tc>
        <w:tc>
          <w:tcPr>
            <w:tcW w:w="1990" w:type="dxa"/>
            <w:gridSpan w:val="2"/>
            <w:vMerge w:val="restart"/>
            <w:tcBorders>
              <w:top w:val="single" w:sz="6" w:space="0" w:color="auto"/>
              <w:left w:val="single" w:sz="6" w:space="0" w:color="auto"/>
              <w:right w:val="single" w:sz="12" w:space="0" w:color="auto"/>
            </w:tcBorders>
            <w:shd w:val="clear" w:color="auto" w:fill="CCC0D9"/>
            <w:vAlign w:val="center"/>
          </w:tcPr>
          <w:p w14:paraId="413485F8"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 xml:space="preserve">Ogółem w </w:t>
            </w:r>
            <w:r w:rsidRPr="00200F48">
              <w:rPr>
                <w:rFonts w:ascii="Arial" w:hAnsi="Arial" w:cs="Arial"/>
                <w:sz w:val="24"/>
                <w:szCs w:val="24"/>
              </w:rPr>
              <w:lastRenderedPageBreak/>
              <w:t>projekcie</w:t>
            </w:r>
          </w:p>
          <w:p w14:paraId="17045995" w14:textId="77777777" w:rsidR="00200F48" w:rsidRPr="00200F48" w:rsidRDefault="00200F48" w:rsidP="00200F48">
            <w:pPr>
              <w:spacing w:before="120" w:after="120" w:line="360" w:lineRule="auto"/>
              <w:rPr>
                <w:rFonts w:ascii="Arial" w:hAnsi="Arial" w:cs="Arial"/>
                <w:sz w:val="24"/>
                <w:szCs w:val="24"/>
              </w:rPr>
            </w:pPr>
          </w:p>
        </w:tc>
      </w:tr>
      <w:tr w:rsidR="00200F48" w:rsidRPr="00200F48" w14:paraId="53730D29" w14:textId="77777777" w:rsidTr="00B81D3B">
        <w:trPr>
          <w:trHeight w:val="567"/>
        </w:trPr>
        <w:tc>
          <w:tcPr>
            <w:tcW w:w="4247" w:type="dxa"/>
            <w:gridSpan w:val="9"/>
            <w:vMerge/>
            <w:tcBorders>
              <w:left w:val="single" w:sz="12" w:space="0" w:color="auto"/>
              <w:bottom w:val="single" w:sz="6" w:space="0" w:color="auto"/>
              <w:right w:val="single" w:sz="6" w:space="0" w:color="auto"/>
            </w:tcBorders>
            <w:shd w:val="clear" w:color="auto" w:fill="CCC0D9"/>
            <w:vAlign w:val="center"/>
          </w:tcPr>
          <w:p w14:paraId="594E54BF" w14:textId="77777777" w:rsidR="00200F48" w:rsidRPr="00200F48" w:rsidRDefault="00200F48" w:rsidP="00200F48">
            <w:pPr>
              <w:spacing w:before="120" w:after="120" w:line="360" w:lineRule="auto"/>
              <w:ind w:left="57"/>
              <w:rPr>
                <w:rFonts w:ascii="Arial" w:hAnsi="Arial" w:cs="Arial"/>
                <w:b/>
                <w:sz w:val="24"/>
                <w:szCs w:val="24"/>
              </w:rPr>
            </w:pPr>
          </w:p>
        </w:tc>
        <w:tc>
          <w:tcPr>
            <w:tcW w:w="1559" w:type="dxa"/>
            <w:gridSpan w:val="4"/>
            <w:tcBorders>
              <w:top w:val="single" w:sz="6" w:space="0" w:color="auto"/>
              <w:left w:val="single" w:sz="6" w:space="0" w:color="auto"/>
              <w:bottom w:val="single" w:sz="6" w:space="0" w:color="auto"/>
              <w:right w:val="single" w:sz="6" w:space="0" w:color="auto"/>
            </w:tcBorders>
            <w:shd w:val="clear" w:color="auto" w:fill="CCC0D9"/>
            <w:vAlign w:val="center"/>
          </w:tcPr>
          <w:p w14:paraId="2D1608D7"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415DF7B2"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Mężczyzn</w:t>
            </w:r>
          </w:p>
        </w:tc>
        <w:tc>
          <w:tcPr>
            <w:tcW w:w="1990" w:type="dxa"/>
            <w:gridSpan w:val="2"/>
            <w:vMerge/>
            <w:tcBorders>
              <w:left w:val="single" w:sz="6" w:space="0" w:color="auto"/>
              <w:bottom w:val="single" w:sz="6" w:space="0" w:color="auto"/>
              <w:right w:val="single" w:sz="12" w:space="0" w:color="auto"/>
            </w:tcBorders>
            <w:shd w:val="clear" w:color="auto" w:fill="CCC0D9"/>
            <w:vAlign w:val="center"/>
          </w:tcPr>
          <w:p w14:paraId="4CF44E77" w14:textId="77777777" w:rsidR="00200F48" w:rsidRPr="00200F48" w:rsidRDefault="00200F48" w:rsidP="00200F48">
            <w:pPr>
              <w:spacing w:before="120" w:after="120" w:line="360" w:lineRule="auto"/>
              <w:rPr>
                <w:rFonts w:ascii="Arial" w:hAnsi="Arial" w:cs="Arial"/>
                <w:sz w:val="24"/>
                <w:szCs w:val="24"/>
              </w:rPr>
            </w:pPr>
          </w:p>
        </w:tc>
      </w:tr>
      <w:tr w:rsidR="00200F48" w:rsidRPr="00200F48" w14:paraId="143A6254" w14:textId="77777777" w:rsidTr="00B81D3B">
        <w:trPr>
          <w:trHeight w:val="417"/>
        </w:trPr>
        <w:tc>
          <w:tcPr>
            <w:tcW w:w="4247" w:type="dxa"/>
            <w:gridSpan w:val="9"/>
            <w:tcBorders>
              <w:top w:val="single" w:sz="6" w:space="0" w:color="auto"/>
              <w:left w:val="single" w:sz="12" w:space="0" w:color="auto"/>
              <w:bottom w:val="single" w:sz="6" w:space="0" w:color="auto"/>
              <w:right w:val="single" w:sz="6" w:space="0" w:color="auto"/>
            </w:tcBorders>
            <w:shd w:val="clear" w:color="auto" w:fill="FFFFFF"/>
            <w:vAlign w:val="center"/>
          </w:tcPr>
          <w:p w14:paraId="7FCCC73D" w14:textId="77777777" w:rsidR="00200F48" w:rsidRPr="00200F48" w:rsidRDefault="00200F48" w:rsidP="00200F48">
            <w:pPr>
              <w:tabs>
                <w:tab w:val="left" w:pos="0"/>
                <w:tab w:val="left" w:pos="34"/>
              </w:tabs>
              <w:spacing w:before="120" w:after="120" w:line="360" w:lineRule="auto"/>
              <w:ind w:right="34"/>
              <w:rPr>
                <w:rFonts w:ascii="Arial" w:hAnsi="Arial" w:cs="Arial"/>
                <w:i/>
                <w:sz w:val="24"/>
                <w:szCs w:val="24"/>
              </w:rPr>
            </w:pPr>
            <w:bookmarkStart w:id="15" w:name="_Hlk36045873"/>
            <w:r w:rsidRPr="00200F48">
              <w:rPr>
                <w:rFonts w:ascii="Arial" w:hAnsi="Arial" w:cs="Arial"/>
                <w:i/>
                <w:sz w:val="24"/>
                <w:szCs w:val="24"/>
              </w:rPr>
              <w:lastRenderedPageBreak/>
              <w:t>Liczba pracowników wymiaru sprawiedliwości, objętych wsparciem szkoleniowym w zakresie prawa cywilnego i gospodarczego</w:t>
            </w:r>
            <w:bookmarkEnd w:id="15"/>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E047E32" w14:textId="77777777" w:rsidR="00200F48" w:rsidRPr="00200F48" w:rsidRDefault="00200F48" w:rsidP="00200F48">
            <w:pPr>
              <w:spacing w:before="120" w:after="120" w:line="360" w:lineRule="auto"/>
              <w:rPr>
                <w:rFonts w:ascii="Arial" w:hAnsi="Arial" w:cs="Arial"/>
                <w:sz w:val="24"/>
                <w:szCs w:val="24"/>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D6A3AED" w14:textId="77777777" w:rsidR="00200F48" w:rsidRPr="00200F48" w:rsidRDefault="00200F48" w:rsidP="00200F48">
            <w:pPr>
              <w:spacing w:before="120" w:after="120" w:line="360" w:lineRule="auto"/>
              <w:rPr>
                <w:rFonts w:ascii="Arial" w:hAnsi="Arial" w:cs="Arial"/>
                <w:sz w:val="24"/>
                <w:szCs w:val="24"/>
              </w:rPr>
            </w:pPr>
          </w:p>
        </w:tc>
        <w:tc>
          <w:tcPr>
            <w:tcW w:w="1990"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2F636C31"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800</w:t>
            </w:r>
          </w:p>
        </w:tc>
      </w:tr>
      <w:tr w:rsidR="00200F48" w:rsidRPr="00200F48" w14:paraId="751E6EF5" w14:textId="77777777" w:rsidTr="00B81D3B">
        <w:trPr>
          <w:trHeight w:val="495"/>
        </w:trPr>
        <w:tc>
          <w:tcPr>
            <w:tcW w:w="4247" w:type="dxa"/>
            <w:gridSpan w:val="9"/>
            <w:tcBorders>
              <w:top w:val="single" w:sz="6" w:space="0" w:color="auto"/>
              <w:left w:val="single" w:sz="12" w:space="0" w:color="auto"/>
              <w:bottom w:val="single" w:sz="6" w:space="0" w:color="auto"/>
              <w:right w:val="single" w:sz="6" w:space="0" w:color="auto"/>
            </w:tcBorders>
            <w:shd w:val="clear" w:color="auto" w:fill="FFFFFF"/>
            <w:vAlign w:val="center"/>
          </w:tcPr>
          <w:p w14:paraId="1EDAF1C8" w14:textId="77777777" w:rsidR="00200F48" w:rsidRPr="00200F48" w:rsidRDefault="00200F48" w:rsidP="00200F48">
            <w:pPr>
              <w:tabs>
                <w:tab w:val="left" w:pos="0"/>
                <w:tab w:val="left" w:pos="34"/>
              </w:tabs>
              <w:spacing w:before="120" w:after="120" w:line="360" w:lineRule="auto"/>
              <w:ind w:right="34"/>
              <w:rPr>
                <w:rFonts w:ascii="Arial" w:hAnsi="Arial" w:cs="Arial"/>
                <w:i/>
                <w:sz w:val="24"/>
                <w:szCs w:val="24"/>
              </w:rPr>
            </w:pPr>
            <w:r w:rsidRPr="00200F48">
              <w:rPr>
                <w:rFonts w:ascii="Arial" w:hAnsi="Arial" w:cs="Arial"/>
                <w:i/>
                <w:sz w:val="24"/>
                <w:szCs w:val="24"/>
              </w:rPr>
              <w:t>Liczba opracowanych programów szkoleniowych</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07A4126" w14:textId="77777777" w:rsidR="00200F48" w:rsidRPr="00200F48" w:rsidRDefault="00200F48" w:rsidP="00200F48">
            <w:pPr>
              <w:spacing w:before="120" w:after="120" w:line="360" w:lineRule="auto"/>
              <w:rPr>
                <w:rFonts w:ascii="Arial" w:hAnsi="Arial" w:cs="Arial"/>
                <w:sz w:val="24"/>
                <w:szCs w:val="24"/>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D22312F" w14:textId="77777777" w:rsidR="00200F48" w:rsidRPr="00200F48" w:rsidRDefault="00200F48" w:rsidP="00200F48">
            <w:pPr>
              <w:spacing w:before="120" w:after="120" w:line="360" w:lineRule="auto"/>
              <w:rPr>
                <w:rFonts w:ascii="Arial" w:hAnsi="Arial" w:cs="Arial"/>
                <w:sz w:val="24"/>
                <w:szCs w:val="24"/>
              </w:rPr>
            </w:pPr>
          </w:p>
        </w:tc>
        <w:tc>
          <w:tcPr>
            <w:tcW w:w="1990"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23C5C4DF"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2</w:t>
            </w:r>
          </w:p>
        </w:tc>
      </w:tr>
      <w:tr w:rsidR="00200F48" w:rsidRPr="00200F48" w14:paraId="5B5C0F94" w14:textId="77777777" w:rsidTr="00B81D3B">
        <w:trPr>
          <w:trHeight w:val="403"/>
        </w:trPr>
        <w:tc>
          <w:tcPr>
            <w:tcW w:w="4247" w:type="dxa"/>
            <w:gridSpan w:val="9"/>
            <w:tcBorders>
              <w:top w:val="single" w:sz="6" w:space="0" w:color="auto"/>
              <w:left w:val="single" w:sz="12" w:space="0" w:color="auto"/>
              <w:bottom w:val="single" w:sz="6" w:space="0" w:color="auto"/>
              <w:right w:val="single" w:sz="6" w:space="0" w:color="auto"/>
            </w:tcBorders>
            <w:shd w:val="clear" w:color="auto" w:fill="FFFFFF"/>
            <w:vAlign w:val="center"/>
          </w:tcPr>
          <w:p w14:paraId="2B93A5F1" w14:textId="77777777" w:rsidR="00200F48" w:rsidRPr="00200F48" w:rsidRDefault="00200F48" w:rsidP="00200F48">
            <w:pPr>
              <w:tabs>
                <w:tab w:val="left" w:pos="318"/>
              </w:tabs>
              <w:spacing w:before="120" w:after="120" w:line="360" w:lineRule="auto"/>
              <w:ind w:right="1451"/>
              <w:rPr>
                <w:rFonts w:ascii="Arial" w:hAnsi="Arial" w:cs="Arial"/>
                <w:sz w:val="24"/>
                <w:szCs w:val="24"/>
              </w:rPr>
            </w:pP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A51C89E" w14:textId="77777777" w:rsidR="00200F48" w:rsidRPr="00200F48" w:rsidRDefault="00200F48" w:rsidP="00200F48">
            <w:pPr>
              <w:spacing w:before="120" w:after="120" w:line="360" w:lineRule="auto"/>
              <w:rPr>
                <w:rFonts w:ascii="Arial" w:hAnsi="Arial" w:cs="Arial"/>
                <w:sz w:val="24"/>
                <w:szCs w:val="24"/>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E8A4CD6" w14:textId="77777777" w:rsidR="00200F48" w:rsidRPr="00200F48" w:rsidRDefault="00200F48" w:rsidP="00200F48">
            <w:pPr>
              <w:spacing w:before="120" w:after="120" w:line="360" w:lineRule="auto"/>
              <w:rPr>
                <w:rFonts w:ascii="Arial" w:hAnsi="Arial" w:cs="Arial"/>
                <w:sz w:val="24"/>
                <w:szCs w:val="24"/>
              </w:rPr>
            </w:pPr>
          </w:p>
        </w:tc>
        <w:tc>
          <w:tcPr>
            <w:tcW w:w="1990"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6AB275BF" w14:textId="77777777" w:rsidR="00200F48" w:rsidRPr="00200F48" w:rsidRDefault="00200F48" w:rsidP="00200F48">
            <w:pPr>
              <w:spacing w:before="120" w:after="120" w:line="360" w:lineRule="auto"/>
              <w:rPr>
                <w:rFonts w:ascii="Arial" w:hAnsi="Arial" w:cs="Arial"/>
                <w:sz w:val="24"/>
                <w:szCs w:val="24"/>
              </w:rPr>
            </w:pPr>
          </w:p>
        </w:tc>
      </w:tr>
      <w:tr w:rsidR="00200F48" w:rsidRPr="00200F48" w14:paraId="1072B941" w14:textId="77777777" w:rsidTr="00B81D3B">
        <w:trPr>
          <w:trHeight w:val="567"/>
        </w:trPr>
        <w:tc>
          <w:tcPr>
            <w:tcW w:w="9356" w:type="dxa"/>
            <w:gridSpan w:val="18"/>
            <w:tcBorders>
              <w:top w:val="single" w:sz="12" w:space="0" w:color="auto"/>
              <w:bottom w:val="single" w:sz="12" w:space="0" w:color="auto"/>
            </w:tcBorders>
            <w:shd w:val="clear" w:color="auto" w:fill="CCC0D9"/>
            <w:vAlign w:val="center"/>
          </w:tcPr>
          <w:p w14:paraId="75CE8FE2" w14:textId="77777777" w:rsidR="00200F48" w:rsidRPr="00200F48" w:rsidRDefault="00200F48" w:rsidP="00200F48">
            <w:pPr>
              <w:spacing w:before="120" w:after="120" w:line="360" w:lineRule="auto"/>
              <w:ind w:left="57"/>
              <w:rPr>
                <w:rFonts w:ascii="Arial" w:hAnsi="Arial" w:cs="Arial"/>
                <w:b/>
                <w:sz w:val="24"/>
                <w:szCs w:val="24"/>
              </w:rPr>
            </w:pPr>
            <w:r w:rsidRPr="00200F48">
              <w:rPr>
                <w:rFonts w:ascii="Arial" w:hAnsi="Arial" w:cs="Arial"/>
                <w:b/>
                <w:sz w:val="24"/>
                <w:szCs w:val="24"/>
              </w:rPr>
              <w:t>SZCZEGÓŁOWE KRYTERIA WYBORU PROJEKTU</w:t>
            </w:r>
          </w:p>
        </w:tc>
      </w:tr>
      <w:tr w:rsidR="00200F48" w:rsidRPr="00200F48" w14:paraId="6D6E71F4" w14:textId="77777777" w:rsidTr="00B81D3B">
        <w:trPr>
          <w:trHeight w:val="567"/>
        </w:trPr>
        <w:tc>
          <w:tcPr>
            <w:tcW w:w="9356" w:type="dxa"/>
            <w:gridSpan w:val="18"/>
            <w:tcBorders>
              <w:top w:val="single" w:sz="12" w:space="0" w:color="auto"/>
              <w:bottom w:val="single" w:sz="12" w:space="0" w:color="auto"/>
            </w:tcBorders>
            <w:shd w:val="clear" w:color="auto" w:fill="CCC0D9"/>
            <w:vAlign w:val="center"/>
          </w:tcPr>
          <w:p w14:paraId="1C39B8AC" w14:textId="77777777" w:rsidR="00200F48" w:rsidRPr="00200F48" w:rsidRDefault="00200F48" w:rsidP="00200F48">
            <w:pPr>
              <w:spacing w:before="120" w:after="120" w:line="360" w:lineRule="auto"/>
              <w:ind w:left="57"/>
              <w:rPr>
                <w:rFonts w:ascii="Arial" w:hAnsi="Arial" w:cs="Arial"/>
                <w:b/>
                <w:sz w:val="24"/>
                <w:szCs w:val="24"/>
              </w:rPr>
            </w:pPr>
            <w:r w:rsidRPr="00200F48">
              <w:rPr>
                <w:rFonts w:ascii="Arial" w:hAnsi="Arial" w:cs="Arial"/>
                <w:b/>
                <w:sz w:val="24"/>
                <w:szCs w:val="24"/>
              </w:rPr>
              <w:t>KRYTERIA DOSTĘPU</w:t>
            </w:r>
          </w:p>
        </w:tc>
      </w:tr>
      <w:tr w:rsidR="00200F48" w:rsidRPr="00200F48" w14:paraId="17F2246A" w14:textId="77777777" w:rsidTr="00B81D3B">
        <w:trPr>
          <w:trHeight w:val="412"/>
        </w:trPr>
        <w:tc>
          <w:tcPr>
            <w:tcW w:w="9356" w:type="dxa"/>
            <w:gridSpan w:val="18"/>
            <w:tcBorders>
              <w:top w:val="single" w:sz="12" w:space="0" w:color="auto"/>
              <w:bottom w:val="single" w:sz="2" w:space="0" w:color="auto"/>
            </w:tcBorders>
            <w:shd w:val="clear" w:color="auto" w:fill="FFFFFF"/>
            <w:vAlign w:val="center"/>
          </w:tcPr>
          <w:p w14:paraId="411684D1" w14:textId="77777777" w:rsidR="00200F48" w:rsidRPr="00200F48" w:rsidRDefault="00200F48" w:rsidP="00200F48">
            <w:pPr>
              <w:spacing w:before="120" w:after="120" w:line="360" w:lineRule="auto"/>
              <w:ind w:left="57"/>
              <w:rPr>
                <w:rFonts w:ascii="Arial" w:hAnsi="Arial" w:cs="Arial"/>
                <w:b/>
                <w:sz w:val="24"/>
                <w:szCs w:val="24"/>
              </w:rPr>
            </w:pPr>
            <w:r w:rsidRPr="00200F48">
              <w:rPr>
                <w:rFonts w:ascii="Arial" w:hAnsi="Arial" w:cs="Arial"/>
                <w:b/>
                <w:sz w:val="24"/>
                <w:szCs w:val="24"/>
              </w:rPr>
              <w:t>Nie dotyczy</w:t>
            </w:r>
          </w:p>
        </w:tc>
      </w:tr>
      <w:tr w:rsidR="00200F48" w:rsidRPr="00200F48" w14:paraId="21C06700" w14:textId="77777777" w:rsidTr="00B81D3B">
        <w:trPr>
          <w:trHeight w:val="567"/>
        </w:trPr>
        <w:tc>
          <w:tcPr>
            <w:tcW w:w="1697" w:type="dxa"/>
            <w:gridSpan w:val="2"/>
            <w:tcBorders>
              <w:top w:val="single" w:sz="6" w:space="0" w:color="auto"/>
              <w:bottom w:val="single" w:sz="2" w:space="0" w:color="auto"/>
            </w:tcBorders>
            <w:shd w:val="clear" w:color="auto" w:fill="CCC0D9"/>
            <w:vAlign w:val="center"/>
          </w:tcPr>
          <w:p w14:paraId="3F6BABDB" w14:textId="77777777" w:rsidR="00200F48" w:rsidRPr="00200F48" w:rsidRDefault="00200F48" w:rsidP="00200F48">
            <w:pPr>
              <w:spacing w:before="120" w:after="120" w:line="360" w:lineRule="auto"/>
              <w:ind w:left="57"/>
              <w:rPr>
                <w:rFonts w:ascii="Arial" w:hAnsi="Arial" w:cs="Arial"/>
                <w:b/>
                <w:sz w:val="24"/>
                <w:szCs w:val="24"/>
              </w:rPr>
            </w:pPr>
            <w:r w:rsidRPr="00200F48">
              <w:rPr>
                <w:rFonts w:ascii="Arial" w:hAnsi="Arial" w:cs="Arial"/>
                <w:sz w:val="24"/>
                <w:szCs w:val="24"/>
              </w:rPr>
              <w:t>Uzasadnienie:</w:t>
            </w:r>
          </w:p>
        </w:tc>
        <w:tc>
          <w:tcPr>
            <w:tcW w:w="7659" w:type="dxa"/>
            <w:gridSpan w:val="16"/>
            <w:tcBorders>
              <w:top w:val="single" w:sz="6" w:space="0" w:color="auto"/>
              <w:bottom w:val="single" w:sz="2" w:space="0" w:color="auto"/>
            </w:tcBorders>
            <w:shd w:val="clear" w:color="auto" w:fill="FFFFFF"/>
            <w:vAlign w:val="center"/>
          </w:tcPr>
          <w:p w14:paraId="20ACD6FD" w14:textId="77777777" w:rsidR="00200F48" w:rsidRPr="00200F48" w:rsidRDefault="00200F48" w:rsidP="00200F48">
            <w:pPr>
              <w:spacing w:before="120" w:after="120" w:line="360" w:lineRule="auto"/>
              <w:ind w:left="57"/>
              <w:rPr>
                <w:rFonts w:ascii="Arial" w:hAnsi="Arial" w:cs="Arial"/>
                <w:b/>
                <w:sz w:val="24"/>
                <w:szCs w:val="24"/>
              </w:rPr>
            </w:pPr>
          </w:p>
        </w:tc>
      </w:tr>
      <w:tr w:rsidR="00200F48" w:rsidRPr="00200F48" w14:paraId="3BD381A8" w14:textId="77777777" w:rsidTr="00B81D3B">
        <w:trPr>
          <w:trHeight w:val="387"/>
        </w:trPr>
        <w:tc>
          <w:tcPr>
            <w:tcW w:w="9356" w:type="dxa"/>
            <w:gridSpan w:val="18"/>
            <w:tcBorders>
              <w:top w:val="single" w:sz="6" w:space="0" w:color="auto"/>
              <w:bottom w:val="single" w:sz="2" w:space="0" w:color="auto"/>
            </w:tcBorders>
            <w:shd w:val="clear" w:color="auto" w:fill="FFFFFF"/>
            <w:vAlign w:val="center"/>
          </w:tcPr>
          <w:p w14:paraId="6D3C4297" w14:textId="77777777" w:rsidR="00200F48" w:rsidRPr="00200F48" w:rsidRDefault="00200F48" w:rsidP="00200F48">
            <w:pPr>
              <w:spacing w:before="120" w:after="120" w:line="360" w:lineRule="auto"/>
              <w:ind w:left="417"/>
              <w:rPr>
                <w:rFonts w:ascii="Arial" w:hAnsi="Arial" w:cs="Arial"/>
                <w:b/>
                <w:sz w:val="24"/>
                <w:szCs w:val="24"/>
              </w:rPr>
            </w:pPr>
          </w:p>
        </w:tc>
      </w:tr>
      <w:tr w:rsidR="00200F48" w:rsidRPr="00200F48" w14:paraId="75C1C627" w14:textId="77777777" w:rsidTr="00B81D3B">
        <w:trPr>
          <w:trHeight w:val="567"/>
        </w:trPr>
        <w:tc>
          <w:tcPr>
            <w:tcW w:w="1697" w:type="dxa"/>
            <w:gridSpan w:val="2"/>
            <w:tcBorders>
              <w:top w:val="single" w:sz="6" w:space="0" w:color="auto"/>
              <w:bottom w:val="single" w:sz="2" w:space="0" w:color="auto"/>
            </w:tcBorders>
            <w:shd w:val="clear" w:color="auto" w:fill="CCC0D9"/>
            <w:vAlign w:val="center"/>
          </w:tcPr>
          <w:p w14:paraId="3C21EBF7" w14:textId="77777777" w:rsidR="00200F48" w:rsidRPr="00200F48" w:rsidRDefault="00200F48" w:rsidP="00200F48">
            <w:pPr>
              <w:spacing w:before="120" w:after="120" w:line="360" w:lineRule="auto"/>
              <w:ind w:left="57"/>
              <w:rPr>
                <w:rFonts w:ascii="Arial" w:hAnsi="Arial" w:cs="Arial"/>
                <w:b/>
                <w:sz w:val="24"/>
                <w:szCs w:val="24"/>
              </w:rPr>
            </w:pPr>
            <w:r w:rsidRPr="00200F48">
              <w:rPr>
                <w:rFonts w:ascii="Arial" w:hAnsi="Arial" w:cs="Arial"/>
                <w:sz w:val="24"/>
                <w:szCs w:val="24"/>
              </w:rPr>
              <w:t>Uzasadnienie:</w:t>
            </w:r>
          </w:p>
        </w:tc>
        <w:tc>
          <w:tcPr>
            <w:tcW w:w="7659" w:type="dxa"/>
            <w:gridSpan w:val="16"/>
            <w:tcBorders>
              <w:top w:val="single" w:sz="6" w:space="0" w:color="auto"/>
              <w:bottom w:val="single" w:sz="2" w:space="0" w:color="auto"/>
            </w:tcBorders>
            <w:shd w:val="clear" w:color="auto" w:fill="FFFFFF"/>
            <w:vAlign w:val="center"/>
          </w:tcPr>
          <w:p w14:paraId="7C6625B7" w14:textId="77777777" w:rsidR="00200F48" w:rsidRPr="00200F48" w:rsidRDefault="00200F48" w:rsidP="00200F48">
            <w:pPr>
              <w:spacing w:before="120" w:after="120" w:line="360" w:lineRule="auto"/>
              <w:ind w:left="57"/>
              <w:rPr>
                <w:rFonts w:ascii="Arial" w:hAnsi="Arial" w:cs="Arial"/>
                <w:b/>
                <w:sz w:val="24"/>
                <w:szCs w:val="24"/>
              </w:rPr>
            </w:pPr>
          </w:p>
        </w:tc>
      </w:tr>
      <w:tr w:rsidR="00200F48" w:rsidRPr="00200F48" w14:paraId="79EBCC8D" w14:textId="77777777" w:rsidTr="00B81D3B">
        <w:trPr>
          <w:trHeight w:val="317"/>
        </w:trPr>
        <w:tc>
          <w:tcPr>
            <w:tcW w:w="9356" w:type="dxa"/>
            <w:gridSpan w:val="18"/>
            <w:tcBorders>
              <w:top w:val="single" w:sz="6" w:space="0" w:color="auto"/>
              <w:bottom w:val="single" w:sz="2" w:space="0" w:color="auto"/>
            </w:tcBorders>
            <w:shd w:val="clear" w:color="auto" w:fill="FFFFFF"/>
            <w:vAlign w:val="center"/>
          </w:tcPr>
          <w:p w14:paraId="25DBBCEE"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w:t>
            </w:r>
          </w:p>
        </w:tc>
      </w:tr>
      <w:tr w:rsidR="00200F48" w:rsidRPr="00200F48" w14:paraId="1913CAF8" w14:textId="77777777" w:rsidTr="00B81D3B">
        <w:trPr>
          <w:trHeight w:val="567"/>
        </w:trPr>
        <w:tc>
          <w:tcPr>
            <w:tcW w:w="1697" w:type="dxa"/>
            <w:gridSpan w:val="2"/>
            <w:tcBorders>
              <w:top w:val="single" w:sz="6" w:space="0" w:color="auto"/>
              <w:bottom w:val="single" w:sz="12" w:space="0" w:color="auto"/>
            </w:tcBorders>
            <w:shd w:val="clear" w:color="auto" w:fill="CCC0D9"/>
            <w:vAlign w:val="center"/>
          </w:tcPr>
          <w:p w14:paraId="6613321C" w14:textId="77777777" w:rsidR="00200F48" w:rsidRPr="00200F48" w:rsidRDefault="00200F48" w:rsidP="00200F48">
            <w:pPr>
              <w:spacing w:before="120" w:after="120" w:line="360" w:lineRule="auto"/>
              <w:ind w:left="57"/>
              <w:rPr>
                <w:rFonts w:ascii="Arial" w:hAnsi="Arial" w:cs="Arial"/>
                <w:b/>
                <w:sz w:val="24"/>
                <w:szCs w:val="24"/>
              </w:rPr>
            </w:pPr>
            <w:r w:rsidRPr="00200F48">
              <w:rPr>
                <w:rFonts w:ascii="Arial" w:hAnsi="Arial" w:cs="Arial"/>
                <w:sz w:val="24"/>
                <w:szCs w:val="24"/>
              </w:rPr>
              <w:t>Uzasadnienie:</w:t>
            </w:r>
          </w:p>
        </w:tc>
        <w:tc>
          <w:tcPr>
            <w:tcW w:w="7659" w:type="dxa"/>
            <w:gridSpan w:val="16"/>
            <w:tcBorders>
              <w:top w:val="single" w:sz="6" w:space="0" w:color="auto"/>
              <w:bottom w:val="single" w:sz="12" w:space="0" w:color="auto"/>
            </w:tcBorders>
            <w:shd w:val="clear" w:color="auto" w:fill="FFFFFF"/>
            <w:vAlign w:val="center"/>
          </w:tcPr>
          <w:p w14:paraId="097643CD" w14:textId="77777777" w:rsidR="00200F48" w:rsidRPr="00200F48" w:rsidRDefault="00200F48" w:rsidP="00200F48">
            <w:pPr>
              <w:spacing w:before="120" w:after="120" w:line="360" w:lineRule="auto"/>
              <w:ind w:left="57"/>
              <w:rPr>
                <w:rFonts w:ascii="Arial" w:hAnsi="Arial" w:cs="Arial"/>
                <w:b/>
                <w:sz w:val="24"/>
                <w:szCs w:val="24"/>
              </w:rPr>
            </w:pPr>
          </w:p>
        </w:tc>
      </w:tr>
    </w:tbl>
    <w:p w14:paraId="275E481D" w14:textId="77777777" w:rsidR="00BF7F7F" w:rsidRDefault="00BF7F7F" w:rsidP="00BF7F7F"/>
    <w:p w14:paraId="670146F7" w14:textId="77777777" w:rsidR="00BF7F7F" w:rsidRDefault="00BF7F7F">
      <w:pPr>
        <w:spacing w:after="0" w:line="240" w:lineRule="auto"/>
      </w:pPr>
      <w:r>
        <w:br w:type="page"/>
      </w:r>
    </w:p>
    <w:p w14:paraId="370C680B" w14:textId="77777777" w:rsidR="00BF7F7F" w:rsidRPr="00913DD7" w:rsidRDefault="00BF7F7F" w:rsidP="00BF7F7F">
      <w:pPr>
        <w:rPr>
          <w:rFonts w:ascii="Arial" w:hAnsi="Arial" w:cs="Arial"/>
          <w:sz w:val="24"/>
          <w:szCs w:val="24"/>
        </w:rPr>
      </w:pPr>
      <w:r w:rsidRPr="00913DD7">
        <w:rPr>
          <w:rFonts w:ascii="Arial" w:hAnsi="Arial" w:cs="Arial"/>
          <w:sz w:val="24"/>
          <w:szCs w:val="24"/>
        </w:rPr>
        <w:lastRenderedPageBreak/>
        <w:t>Załącznik 1.3</w:t>
      </w:r>
    </w:p>
    <w:tbl>
      <w:tblPr>
        <w:tblW w:w="935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132"/>
        <w:gridCol w:w="565"/>
        <w:gridCol w:w="146"/>
        <w:gridCol w:w="137"/>
        <w:gridCol w:w="428"/>
        <w:gridCol w:w="995"/>
        <w:gridCol w:w="409"/>
        <w:gridCol w:w="10"/>
        <w:gridCol w:w="425"/>
        <w:gridCol w:w="998"/>
        <w:gridCol w:w="413"/>
        <w:gridCol w:w="7"/>
        <w:gridCol w:w="141"/>
        <w:gridCol w:w="425"/>
        <w:gridCol w:w="857"/>
        <w:gridCol w:w="278"/>
        <w:gridCol w:w="145"/>
        <w:gridCol w:w="1845"/>
      </w:tblGrid>
      <w:tr w:rsidR="00200F48" w:rsidRPr="00200F48" w14:paraId="0B11D295" w14:textId="77777777" w:rsidTr="00B81D3B">
        <w:trPr>
          <w:trHeight w:val="351"/>
        </w:trPr>
        <w:tc>
          <w:tcPr>
            <w:tcW w:w="2408" w:type="dxa"/>
            <w:gridSpan w:val="5"/>
            <w:tcBorders>
              <w:top w:val="single" w:sz="12" w:space="0" w:color="auto"/>
              <w:bottom w:val="single" w:sz="12" w:space="0" w:color="auto"/>
            </w:tcBorders>
            <w:shd w:val="clear" w:color="auto" w:fill="CCC0D9"/>
            <w:vAlign w:val="center"/>
          </w:tcPr>
          <w:p w14:paraId="72004090"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DZIAŁANIE PO WER</w:t>
            </w:r>
          </w:p>
        </w:tc>
        <w:tc>
          <w:tcPr>
            <w:tcW w:w="6948" w:type="dxa"/>
            <w:gridSpan w:val="13"/>
            <w:tcBorders>
              <w:top w:val="single" w:sz="12" w:space="0" w:color="auto"/>
              <w:bottom w:val="single" w:sz="12" w:space="0" w:color="auto"/>
            </w:tcBorders>
            <w:shd w:val="clear" w:color="auto" w:fill="FFFFFF"/>
            <w:vAlign w:val="center"/>
          </w:tcPr>
          <w:p w14:paraId="0EB9DAF6"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Działanie 2.17 Skuteczny wymiar sprawiedliwości</w:t>
            </w:r>
          </w:p>
        </w:tc>
      </w:tr>
      <w:tr w:rsidR="00200F48" w:rsidRPr="00200F48" w14:paraId="308ADD82" w14:textId="77777777" w:rsidTr="00B81D3B">
        <w:trPr>
          <w:trHeight w:val="351"/>
        </w:trPr>
        <w:tc>
          <w:tcPr>
            <w:tcW w:w="9356" w:type="dxa"/>
            <w:gridSpan w:val="18"/>
            <w:tcBorders>
              <w:top w:val="single" w:sz="12" w:space="0" w:color="auto"/>
              <w:bottom w:val="single" w:sz="12" w:space="0" w:color="auto"/>
            </w:tcBorders>
            <w:shd w:val="clear" w:color="auto" w:fill="CCC0D9"/>
            <w:vAlign w:val="center"/>
          </w:tcPr>
          <w:p w14:paraId="45C84EFB"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FISZKA PROJEKTU POZAKONKURSOWEGO KONCEPCYJNEGO</w:t>
            </w:r>
          </w:p>
        </w:tc>
      </w:tr>
      <w:tr w:rsidR="00200F48" w:rsidRPr="00200F48" w14:paraId="4629F488" w14:textId="77777777" w:rsidTr="00B81D3B">
        <w:trPr>
          <w:trHeight w:val="351"/>
        </w:trPr>
        <w:tc>
          <w:tcPr>
            <w:tcW w:w="9356" w:type="dxa"/>
            <w:gridSpan w:val="18"/>
            <w:tcBorders>
              <w:top w:val="single" w:sz="12" w:space="0" w:color="auto"/>
              <w:bottom w:val="single" w:sz="2" w:space="0" w:color="auto"/>
            </w:tcBorders>
            <w:shd w:val="clear" w:color="auto" w:fill="CCC0D9"/>
            <w:vAlign w:val="center"/>
          </w:tcPr>
          <w:p w14:paraId="5A609466"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PODSTAWOWE INFORMACJE O PROJEKCIE</w:t>
            </w:r>
          </w:p>
        </w:tc>
      </w:tr>
      <w:tr w:rsidR="00200F48" w:rsidRPr="00200F48" w14:paraId="5461AAFA" w14:textId="77777777" w:rsidTr="00B81D3B">
        <w:trPr>
          <w:trHeight w:val="351"/>
        </w:trPr>
        <w:tc>
          <w:tcPr>
            <w:tcW w:w="1980" w:type="dxa"/>
            <w:gridSpan w:val="4"/>
            <w:tcBorders>
              <w:top w:val="single" w:sz="12" w:space="0" w:color="auto"/>
              <w:bottom w:val="single" w:sz="2" w:space="0" w:color="auto"/>
              <w:right w:val="single" w:sz="4" w:space="0" w:color="auto"/>
            </w:tcBorders>
            <w:shd w:val="clear" w:color="auto" w:fill="CCC0D9"/>
            <w:vAlign w:val="center"/>
          </w:tcPr>
          <w:p w14:paraId="5296D953"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Tytuł lub zakres projektu</w:t>
            </w:r>
            <w:r w:rsidRPr="00200F48">
              <w:rPr>
                <w:rFonts w:ascii="Arial" w:hAnsi="Arial" w:cs="Arial"/>
                <w:sz w:val="24"/>
                <w:szCs w:val="24"/>
                <w:vertAlign w:val="superscript"/>
              </w:rPr>
              <w:footnoteReference w:id="17"/>
            </w:r>
          </w:p>
        </w:tc>
        <w:tc>
          <w:tcPr>
            <w:tcW w:w="7376" w:type="dxa"/>
            <w:gridSpan w:val="14"/>
            <w:tcBorders>
              <w:top w:val="single" w:sz="12" w:space="0" w:color="auto"/>
              <w:left w:val="single" w:sz="4" w:space="0" w:color="auto"/>
              <w:bottom w:val="single" w:sz="2" w:space="0" w:color="auto"/>
              <w:right w:val="single" w:sz="12" w:space="0" w:color="auto"/>
            </w:tcBorders>
            <w:vAlign w:val="center"/>
          </w:tcPr>
          <w:p w14:paraId="001C2FC8"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Zorganizowana przestępczość transgraniczna ze szczególnym uwzględnieniem metod zabezpieczania i odzyskiwania mienia pochodzącego z przestępstw</w:t>
            </w:r>
          </w:p>
        </w:tc>
      </w:tr>
      <w:tr w:rsidR="00200F48" w:rsidRPr="00200F48" w14:paraId="056627E5" w14:textId="77777777" w:rsidTr="00B81D3B">
        <w:trPr>
          <w:trHeight w:val="703"/>
        </w:trPr>
        <w:tc>
          <w:tcPr>
            <w:tcW w:w="1980" w:type="dxa"/>
            <w:gridSpan w:val="4"/>
            <w:tcBorders>
              <w:top w:val="single" w:sz="2" w:space="0" w:color="auto"/>
              <w:bottom w:val="single" w:sz="2" w:space="0" w:color="auto"/>
              <w:right w:val="single" w:sz="4" w:space="0" w:color="auto"/>
            </w:tcBorders>
            <w:shd w:val="clear" w:color="auto" w:fill="CCC0D9"/>
            <w:vAlign w:val="center"/>
          </w:tcPr>
          <w:p w14:paraId="41E90FD0"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 xml:space="preserve">Cel szczegółowy PO WER, w </w:t>
            </w:r>
            <w:proofErr w:type="gramStart"/>
            <w:r w:rsidRPr="00200F48">
              <w:rPr>
                <w:rFonts w:ascii="Arial" w:hAnsi="Arial" w:cs="Arial"/>
                <w:sz w:val="24"/>
                <w:szCs w:val="24"/>
              </w:rPr>
              <w:t>ramach którego</w:t>
            </w:r>
            <w:proofErr w:type="gramEnd"/>
            <w:r w:rsidRPr="00200F48">
              <w:rPr>
                <w:rFonts w:ascii="Arial" w:hAnsi="Arial" w:cs="Arial"/>
                <w:sz w:val="24"/>
                <w:szCs w:val="24"/>
              </w:rPr>
              <w:t xml:space="preserve"> projekt będzie realizowany</w:t>
            </w:r>
          </w:p>
        </w:tc>
        <w:tc>
          <w:tcPr>
            <w:tcW w:w="7376" w:type="dxa"/>
            <w:gridSpan w:val="14"/>
            <w:tcBorders>
              <w:top w:val="single" w:sz="2" w:space="0" w:color="auto"/>
              <w:left w:val="single" w:sz="4" w:space="0" w:color="auto"/>
              <w:bottom w:val="single" w:sz="2" w:space="0" w:color="auto"/>
              <w:right w:val="single" w:sz="12" w:space="0" w:color="auto"/>
            </w:tcBorders>
            <w:vAlign w:val="center"/>
          </w:tcPr>
          <w:p w14:paraId="2510825E" w14:textId="77777777" w:rsidR="00200F48" w:rsidRPr="00200F48" w:rsidRDefault="00200F48" w:rsidP="00200F48">
            <w:pPr>
              <w:spacing w:before="120" w:after="120" w:line="360" w:lineRule="auto"/>
              <w:rPr>
                <w:rFonts w:ascii="Arial" w:hAnsi="Arial" w:cs="Arial"/>
                <w:i/>
                <w:sz w:val="24"/>
                <w:szCs w:val="24"/>
              </w:rPr>
            </w:pPr>
            <w:proofErr w:type="gramStart"/>
            <w:r w:rsidRPr="00200F48">
              <w:rPr>
                <w:rFonts w:ascii="Arial" w:hAnsi="Arial" w:cs="Arial"/>
                <w:i/>
                <w:sz w:val="24"/>
                <w:szCs w:val="24"/>
              </w:rPr>
              <w:t>Poprawa jakości</w:t>
            </w:r>
            <w:proofErr w:type="gramEnd"/>
            <w:r w:rsidRPr="00200F48">
              <w:rPr>
                <w:rFonts w:ascii="Arial" w:hAnsi="Arial" w:cs="Arial"/>
                <w:i/>
                <w:sz w:val="24"/>
                <w:szCs w:val="24"/>
              </w:rPr>
              <w:t xml:space="preserve"> wydawanych orzeczeń oraz zwiększenie skuteczności ich egzekwowania</w:t>
            </w:r>
          </w:p>
        </w:tc>
      </w:tr>
      <w:tr w:rsidR="00200F48" w:rsidRPr="00200F48" w14:paraId="5D27EFDD" w14:textId="77777777" w:rsidTr="00B81D3B">
        <w:trPr>
          <w:trHeight w:val="703"/>
        </w:trPr>
        <w:tc>
          <w:tcPr>
            <w:tcW w:w="1980" w:type="dxa"/>
            <w:gridSpan w:val="4"/>
            <w:tcBorders>
              <w:top w:val="single" w:sz="2" w:space="0" w:color="auto"/>
              <w:bottom w:val="single" w:sz="2" w:space="0" w:color="auto"/>
              <w:right w:val="single" w:sz="4" w:space="0" w:color="auto"/>
            </w:tcBorders>
            <w:shd w:val="clear" w:color="auto" w:fill="CCC0D9"/>
            <w:vAlign w:val="center"/>
          </w:tcPr>
          <w:p w14:paraId="3B152434"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Priorytet inwestycyjny</w:t>
            </w:r>
          </w:p>
        </w:tc>
        <w:tc>
          <w:tcPr>
            <w:tcW w:w="7376" w:type="dxa"/>
            <w:gridSpan w:val="14"/>
            <w:tcBorders>
              <w:top w:val="single" w:sz="2" w:space="0" w:color="auto"/>
              <w:left w:val="single" w:sz="4" w:space="0" w:color="auto"/>
              <w:bottom w:val="single" w:sz="2" w:space="0" w:color="auto"/>
              <w:right w:val="single" w:sz="12" w:space="0" w:color="auto"/>
            </w:tcBorders>
            <w:vAlign w:val="center"/>
          </w:tcPr>
          <w:p w14:paraId="351AB895"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11.I Inwestycje w zdolności instytucjonalne i w sprawność administracji publicznej oraz efektywność usług publicznych na szczeblu krajowym, regionalnym i lokalnym w celu przeprowadzenia reform, z uwzględnieniem lepszego stanowienia prawa i dobrego rządzenia.</w:t>
            </w:r>
          </w:p>
        </w:tc>
      </w:tr>
      <w:tr w:rsidR="00200F48" w:rsidRPr="00200F48" w14:paraId="2B16ADA1" w14:textId="77777777" w:rsidTr="00B81D3B">
        <w:trPr>
          <w:trHeight w:val="636"/>
        </w:trPr>
        <w:tc>
          <w:tcPr>
            <w:tcW w:w="1980" w:type="dxa"/>
            <w:gridSpan w:val="4"/>
            <w:tcBorders>
              <w:top w:val="single" w:sz="2" w:space="0" w:color="auto"/>
              <w:bottom w:val="single" w:sz="2" w:space="0" w:color="auto"/>
              <w:right w:val="single" w:sz="4" w:space="0" w:color="auto"/>
            </w:tcBorders>
            <w:shd w:val="clear" w:color="auto" w:fill="CCC0D9"/>
            <w:vAlign w:val="center"/>
          </w:tcPr>
          <w:p w14:paraId="6029D2EA"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Typ/typy projektów przewidziane do realizacji w ramach projektu</w:t>
            </w:r>
          </w:p>
        </w:tc>
        <w:tc>
          <w:tcPr>
            <w:tcW w:w="7376" w:type="dxa"/>
            <w:gridSpan w:val="14"/>
            <w:tcBorders>
              <w:top w:val="single" w:sz="2" w:space="0" w:color="auto"/>
              <w:left w:val="single" w:sz="4" w:space="0" w:color="auto"/>
              <w:bottom w:val="single" w:sz="2" w:space="0" w:color="auto"/>
              <w:right w:val="single" w:sz="12" w:space="0" w:color="auto"/>
            </w:tcBorders>
            <w:vAlign w:val="center"/>
          </w:tcPr>
          <w:p w14:paraId="3F8D4ED9"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 xml:space="preserve">Szkolenia oraz studia podyplomowe dla sędziów, urzędników i innych pracowników zatrudnionych w sądach powszechnych, prokuratorów, urzędników i innych pracowników powszechnych jednostek organizacyjnych prokuratury, doradców restrukturyzacyjnych, przedstawicieli zawodów prawniczych oraz mediatorów z zakresu prawa gospodarczego, mediacji w sprawach gospodarczych, informatyki śledczej, ochrony konsumenta, zwalczania i zapobiegania przestępczości gospodarczej i skarbowej, prawa dotyczącego własności intelektualnej, prawa </w:t>
            </w:r>
            <w:r w:rsidRPr="00200F48">
              <w:rPr>
                <w:rFonts w:ascii="Arial" w:hAnsi="Arial" w:cs="Arial"/>
                <w:sz w:val="24"/>
                <w:szCs w:val="24"/>
              </w:rPr>
              <w:lastRenderedPageBreak/>
              <w:t>upadłościowego.</w:t>
            </w:r>
          </w:p>
        </w:tc>
      </w:tr>
      <w:tr w:rsidR="00200F48" w:rsidRPr="00200F48" w14:paraId="2E83AFE7" w14:textId="77777777" w:rsidTr="00B81D3B">
        <w:trPr>
          <w:trHeight w:val="636"/>
        </w:trPr>
        <w:tc>
          <w:tcPr>
            <w:tcW w:w="1980" w:type="dxa"/>
            <w:gridSpan w:val="4"/>
            <w:tcBorders>
              <w:top w:val="single" w:sz="2" w:space="0" w:color="auto"/>
              <w:bottom w:val="single" w:sz="2" w:space="0" w:color="auto"/>
              <w:right w:val="single" w:sz="4" w:space="0" w:color="auto"/>
            </w:tcBorders>
            <w:shd w:val="clear" w:color="auto" w:fill="CCC0D9"/>
            <w:vAlign w:val="center"/>
          </w:tcPr>
          <w:p w14:paraId="200FC851"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lastRenderedPageBreak/>
              <w:t>Cel główny projektu</w:t>
            </w:r>
          </w:p>
        </w:tc>
        <w:tc>
          <w:tcPr>
            <w:tcW w:w="7376" w:type="dxa"/>
            <w:gridSpan w:val="14"/>
            <w:tcBorders>
              <w:top w:val="single" w:sz="2" w:space="0" w:color="auto"/>
              <w:left w:val="single" w:sz="4" w:space="0" w:color="auto"/>
              <w:bottom w:val="single" w:sz="2" w:space="0" w:color="auto"/>
              <w:right w:val="single" w:sz="12" w:space="0" w:color="auto"/>
            </w:tcBorders>
          </w:tcPr>
          <w:p w14:paraId="18848233"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 xml:space="preserve">Aktualizacja i podniesienie specjalistycznej wiedzy wśród </w:t>
            </w:r>
            <w:proofErr w:type="gramStart"/>
            <w:r w:rsidRPr="00200F48">
              <w:rPr>
                <w:rFonts w:ascii="Arial" w:hAnsi="Arial" w:cs="Arial"/>
                <w:sz w:val="24"/>
                <w:szCs w:val="24"/>
              </w:rPr>
              <w:t>pracowników  wymiaru</w:t>
            </w:r>
            <w:proofErr w:type="gramEnd"/>
            <w:r w:rsidRPr="00200F48">
              <w:rPr>
                <w:rFonts w:ascii="Arial" w:hAnsi="Arial" w:cs="Arial"/>
                <w:sz w:val="24"/>
                <w:szCs w:val="24"/>
              </w:rPr>
              <w:t xml:space="preserve"> sprawiedliwości w zakresie zapobiegania i zwalczania zorganizowanej przestępczości transgranicznej ze szczególnym uwzględnieniem metod zabezpieczania i odzyskiwania mienia pochodzącego z przestępstw poprzez organizację szkoleń dla pracowników kadr wymiaru sprawiedliwości.</w:t>
            </w:r>
          </w:p>
        </w:tc>
      </w:tr>
      <w:tr w:rsidR="00200F48" w:rsidRPr="00200F48" w14:paraId="192997F9" w14:textId="77777777" w:rsidTr="00B81D3B">
        <w:trPr>
          <w:trHeight w:val="636"/>
        </w:trPr>
        <w:tc>
          <w:tcPr>
            <w:tcW w:w="1980" w:type="dxa"/>
            <w:gridSpan w:val="4"/>
            <w:tcBorders>
              <w:top w:val="single" w:sz="2" w:space="0" w:color="auto"/>
              <w:bottom w:val="single" w:sz="2" w:space="0" w:color="auto"/>
            </w:tcBorders>
            <w:shd w:val="clear" w:color="auto" w:fill="CCC0D9"/>
            <w:vAlign w:val="center"/>
          </w:tcPr>
          <w:p w14:paraId="0CFFEE70"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Kamienie milowe projektu</w:t>
            </w:r>
            <w:r w:rsidRPr="00200F48">
              <w:rPr>
                <w:rFonts w:ascii="Arial" w:hAnsi="Arial" w:cs="Arial"/>
                <w:sz w:val="24"/>
                <w:szCs w:val="24"/>
                <w:vertAlign w:val="superscript"/>
              </w:rPr>
              <w:footnoteReference w:id="18"/>
            </w:r>
          </w:p>
        </w:tc>
        <w:tc>
          <w:tcPr>
            <w:tcW w:w="7376" w:type="dxa"/>
            <w:gridSpan w:val="14"/>
            <w:tcBorders>
              <w:top w:val="single" w:sz="2" w:space="0" w:color="auto"/>
              <w:bottom w:val="single" w:sz="2" w:space="0" w:color="auto"/>
            </w:tcBorders>
          </w:tcPr>
          <w:p w14:paraId="516AF708"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1. Przeprowadzenie konsultacji z przedstawicielami kadr wymiaru sprawiedliwości oraz specjalistami z zakresu przestępczości transgranicznej (lipiec 2021 r. – wrzesień 2021 r.) – szacunkowa wartość 1% kosztów ogółem,</w:t>
            </w:r>
          </w:p>
          <w:p w14:paraId="0F93DE87"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2. Opracowanie programu szkolenia wraz z materiałami i obudową dydaktyczną przez ekspertów (sierpień – październik 2021 r</w:t>
            </w:r>
            <w:proofErr w:type="gramStart"/>
            <w:r w:rsidRPr="00200F48">
              <w:rPr>
                <w:rFonts w:ascii="Arial" w:hAnsi="Arial" w:cs="Arial"/>
                <w:sz w:val="24"/>
                <w:szCs w:val="24"/>
              </w:rPr>
              <w:t>.)- szacunkowa</w:t>
            </w:r>
            <w:proofErr w:type="gramEnd"/>
            <w:r w:rsidRPr="00200F48">
              <w:rPr>
                <w:rFonts w:ascii="Arial" w:hAnsi="Arial" w:cs="Arial"/>
                <w:sz w:val="24"/>
                <w:szCs w:val="24"/>
              </w:rPr>
              <w:t xml:space="preserve"> wartość 4% kosztów ogółem,</w:t>
            </w:r>
          </w:p>
          <w:p w14:paraId="36CC94BF"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 xml:space="preserve">3. Przeprowadzenie 20-godzinnych szkoleń </w:t>
            </w:r>
            <w:proofErr w:type="gramStart"/>
            <w:r w:rsidRPr="00200F48">
              <w:rPr>
                <w:rFonts w:ascii="Arial" w:hAnsi="Arial" w:cs="Arial"/>
                <w:sz w:val="24"/>
                <w:szCs w:val="24"/>
              </w:rPr>
              <w:t>dla  32 grup</w:t>
            </w:r>
            <w:proofErr w:type="gramEnd"/>
            <w:r w:rsidRPr="00200F48">
              <w:rPr>
                <w:rFonts w:ascii="Arial" w:hAnsi="Arial" w:cs="Arial"/>
                <w:sz w:val="24"/>
                <w:szCs w:val="24"/>
              </w:rPr>
              <w:t xml:space="preserve"> (śr. 25-</w:t>
            </w:r>
            <w:proofErr w:type="gramStart"/>
            <w:r w:rsidRPr="00200F48">
              <w:rPr>
                <w:rFonts w:ascii="Arial" w:hAnsi="Arial" w:cs="Arial"/>
                <w:sz w:val="24"/>
                <w:szCs w:val="24"/>
              </w:rPr>
              <w:t>osobowych</w:t>
            </w:r>
            <w:proofErr w:type="gramEnd"/>
            <w:r w:rsidRPr="00200F48">
              <w:rPr>
                <w:rFonts w:ascii="Arial" w:hAnsi="Arial" w:cs="Arial"/>
                <w:sz w:val="24"/>
                <w:szCs w:val="24"/>
              </w:rPr>
              <w:t>) (listopad 2021 r. – luty 2023 r.) – szacunkowa wartość 87% kosztów ogółem,</w:t>
            </w:r>
          </w:p>
          <w:p w14:paraId="61732399"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4. Opracowanie dodatkowych materiałów do wykorzystania w bieżącej pracy zawodowej - szkolenia e-learningowego (październik 2022 - marzec 2023 r</w:t>
            </w:r>
            <w:proofErr w:type="gramStart"/>
            <w:r w:rsidRPr="00200F48">
              <w:rPr>
                <w:rFonts w:ascii="Arial" w:hAnsi="Arial" w:cs="Arial"/>
                <w:sz w:val="24"/>
                <w:szCs w:val="24"/>
              </w:rPr>
              <w:t>.)- szacunkowa</w:t>
            </w:r>
            <w:proofErr w:type="gramEnd"/>
            <w:r w:rsidRPr="00200F48">
              <w:rPr>
                <w:rFonts w:ascii="Arial" w:hAnsi="Arial" w:cs="Arial"/>
                <w:sz w:val="24"/>
                <w:szCs w:val="24"/>
              </w:rPr>
              <w:t xml:space="preserve"> wartość 8% kosztów ogółem.</w:t>
            </w:r>
          </w:p>
        </w:tc>
      </w:tr>
      <w:tr w:rsidR="00200F48" w:rsidRPr="00200F48" w14:paraId="54D69970" w14:textId="77777777" w:rsidTr="00B81D3B">
        <w:trPr>
          <w:trHeight w:val="636"/>
        </w:trPr>
        <w:tc>
          <w:tcPr>
            <w:tcW w:w="1980" w:type="dxa"/>
            <w:gridSpan w:val="4"/>
            <w:tcBorders>
              <w:top w:val="single" w:sz="2" w:space="0" w:color="auto"/>
              <w:bottom w:val="single" w:sz="2" w:space="0" w:color="auto"/>
            </w:tcBorders>
            <w:shd w:val="clear" w:color="auto" w:fill="CCC0D9"/>
            <w:vAlign w:val="center"/>
          </w:tcPr>
          <w:p w14:paraId="6BB7FACE"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Podmiot zgłaszający projekt</w:t>
            </w:r>
            <w:r w:rsidRPr="00200F48">
              <w:rPr>
                <w:rFonts w:ascii="Arial" w:hAnsi="Arial" w:cs="Arial"/>
                <w:sz w:val="24"/>
                <w:szCs w:val="24"/>
                <w:vertAlign w:val="superscript"/>
              </w:rPr>
              <w:footnoteReference w:id="19"/>
            </w:r>
          </w:p>
        </w:tc>
        <w:tc>
          <w:tcPr>
            <w:tcW w:w="7376" w:type="dxa"/>
            <w:gridSpan w:val="14"/>
            <w:tcBorders>
              <w:top w:val="single" w:sz="2" w:space="0" w:color="auto"/>
              <w:bottom w:val="single" w:sz="2" w:space="0" w:color="auto"/>
            </w:tcBorders>
          </w:tcPr>
          <w:p w14:paraId="0C1D9864" w14:textId="77777777" w:rsidR="00200F48" w:rsidRPr="00200F48" w:rsidRDefault="00200F48" w:rsidP="00200F48">
            <w:pPr>
              <w:spacing w:before="120" w:after="120" w:line="360" w:lineRule="auto"/>
              <w:rPr>
                <w:rFonts w:ascii="Arial" w:hAnsi="Arial" w:cs="Arial"/>
                <w:sz w:val="24"/>
                <w:szCs w:val="24"/>
              </w:rPr>
            </w:pPr>
          </w:p>
          <w:p w14:paraId="666BE900"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Instytucja Pośrednicząca - Ministerstwo Sprawiedliwości</w:t>
            </w:r>
          </w:p>
        </w:tc>
      </w:tr>
      <w:tr w:rsidR="00200F48" w:rsidRPr="00200F48" w14:paraId="437DE5C8" w14:textId="77777777" w:rsidTr="00B81D3B">
        <w:trPr>
          <w:trHeight w:val="434"/>
        </w:trPr>
        <w:tc>
          <w:tcPr>
            <w:tcW w:w="1980" w:type="dxa"/>
            <w:gridSpan w:val="4"/>
            <w:tcBorders>
              <w:top w:val="single" w:sz="2" w:space="0" w:color="auto"/>
              <w:bottom w:val="single" w:sz="2" w:space="0" w:color="auto"/>
            </w:tcBorders>
            <w:shd w:val="clear" w:color="auto" w:fill="CCC0D9"/>
            <w:vAlign w:val="center"/>
          </w:tcPr>
          <w:p w14:paraId="47C941DE"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 xml:space="preserve">Podmiot, który będzie </w:t>
            </w:r>
            <w:r w:rsidRPr="00200F48">
              <w:rPr>
                <w:rFonts w:ascii="Arial" w:hAnsi="Arial" w:cs="Arial"/>
                <w:sz w:val="24"/>
                <w:szCs w:val="24"/>
              </w:rPr>
              <w:lastRenderedPageBreak/>
              <w:t>wnioskodawcą</w:t>
            </w:r>
          </w:p>
        </w:tc>
        <w:tc>
          <w:tcPr>
            <w:tcW w:w="7376" w:type="dxa"/>
            <w:gridSpan w:val="14"/>
            <w:tcBorders>
              <w:top w:val="single" w:sz="2" w:space="0" w:color="auto"/>
              <w:bottom w:val="single" w:sz="2" w:space="0" w:color="auto"/>
            </w:tcBorders>
            <w:vAlign w:val="center"/>
          </w:tcPr>
          <w:p w14:paraId="0EF0B5DF"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lastRenderedPageBreak/>
              <w:t>Krajowa Szkoła Sądownictwa i Prokuratury</w:t>
            </w:r>
          </w:p>
        </w:tc>
      </w:tr>
      <w:tr w:rsidR="00200F48" w:rsidRPr="00200F48" w14:paraId="234D9213" w14:textId="77777777" w:rsidTr="00B81D3B">
        <w:trPr>
          <w:trHeight w:val="434"/>
        </w:trPr>
        <w:tc>
          <w:tcPr>
            <w:tcW w:w="1980" w:type="dxa"/>
            <w:gridSpan w:val="4"/>
            <w:tcBorders>
              <w:top w:val="single" w:sz="2" w:space="0" w:color="auto"/>
              <w:bottom w:val="single" w:sz="2" w:space="0" w:color="auto"/>
            </w:tcBorders>
            <w:shd w:val="clear" w:color="auto" w:fill="CCC0D9"/>
            <w:vAlign w:val="center"/>
          </w:tcPr>
          <w:p w14:paraId="4FE50538"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lastRenderedPageBreak/>
              <w:t>Uzasadnienie wyboru podmiotu, który będzie wnioskodawcą</w:t>
            </w:r>
            <w:r w:rsidRPr="00200F48">
              <w:rPr>
                <w:rFonts w:ascii="Arial" w:hAnsi="Arial" w:cs="Arial"/>
                <w:sz w:val="24"/>
                <w:szCs w:val="24"/>
                <w:vertAlign w:val="superscript"/>
              </w:rPr>
              <w:footnoteReference w:id="20"/>
            </w:r>
          </w:p>
        </w:tc>
        <w:tc>
          <w:tcPr>
            <w:tcW w:w="7376" w:type="dxa"/>
            <w:gridSpan w:val="14"/>
            <w:tcBorders>
              <w:top w:val="single" w:sz="2" w:space="0" w:color="auto"/>
              <w:bottom w:val="single" w:sz="2" w:space="0" w:color="auto"/>
            </w:tcBorders>
            <w:vAlign w:val="center"/>
          </w:tcPr>
          <w:p w14:paraId="20060DD6"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sz w:val="24"/>
                <w:szCs w:val="24"/>
              </w:rPr>
              <w:t xml:space="preserve">Krajowa Szkoła Sądownictwa i Prokuratury jest jedyną centralną instytucją powołaną ustawowo do szkolenia i doskonalenia zawodowego kadr wymiaru sprawiedliwości w celu uzupełnienia ich specjalistycznej wiedzy i umiejętności zawodowych (ustawa z dnia 23 stycznia 2009 r. o Krajowej Szkole Sądownictwa i Prokuratury; tj. Dz.U. 2019, </w:t>
            </w:r>
            <w:proofErr w:type="gramStart"/>
            <w:r w:rsidRPr="00200F48">
              <w:rPr>
                <w:rFonts w:ascii="Arial" w:hAnsi="Arial" w:cs="Arial"/>
                <w:sz w:val="24"/>
                <w:szCs w:val="24"/>
              </w:rPr>
              <w:t>poz</w:t>
            </w:r>
            <w:proofErr w:type="gramEnd"/>
            <w:r w:rsidRPr="00200F48">
              <w:rPr>
                <w:rFonts w:ascii="Arial" w:hAnsi="Arial" w:cs="Arial"/>
                <w:sz w:val="24"/>
                <w:szCs w:val="24"/>
              </w:rPr>
              <w:t>. 1042 ze zm.).</w:t>
            </w:r>
          </w:p>
        </w:tc>
      </w:tr>
      <w:tr w:rsidR="00200F48" w:rsidRPr="00200F48" w14:paraId="371D650D" w14:textId="77777777" w:rsidTr="00B81D3B">
        <w:trPr>
          <w:trHeight w:val="434"/>
        </w:trPr>
        <w:tc>
          <w:tcPr>
            <w:tcW w:w="1980" w:type="dxa"/>
            <w:gridSpan w:val="4"/>
            <w:tcBorders>
              <w:top w:val="single" w:sz="2" w:space="0" w:color="auto"/>
              <w:bottom w:val="single" w:sz="2" w:space="0" w:color="auto"/>
            </w:tcBorders>
            <w:shd w:val="clear" w:color="auto" w:fill="CCC0D9"/>
            <w:vAlign w:val="center"/>
          </w:tcPr>
          <w:p w14:paraId="71E9B9BE"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Czy projekt będzie realizowany w partnerstwie?</w:t>
            </w:r>
          </w:p>
        </w:tc>
        <w:tc>
          <w:tcPr>
            <w:tcW w:w="1832" w:type="dxa"/>
            <w:gridSpan w:val="3"/>
            <w:tcBorders>
              <w:top w:val="single" w:sz="2" w:space="0" w:color="auto"/>
              <w:bottom w:val="single" w:sz="2" w:space="0" w:color="auto"/>
            </w:tcBorders>
            <w:shd w:val="clear" w:color="auto" w:fill="CCC0D9"/>
            <w:vAlign w:val="center"/>
          </w:tcPr>
          <w:p w14:paraId="2E879BDF"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TAK</w:t>
            </w:r>
          </w:p>
        </w:tc>
        <w:tc>
          <w:tcPr>
            <w:tcW w:w="1846" w:type="dxa"/>
            <w:gridSpan w:val="4"/>
            <w:tcBorders>
              <w:top w:val="single" w:sz="2" w:space="0" w:color="auto"/>
              <w:bottom w:val="single" w:sz="2" w:space="0" w:color="auto"/>
            </w:tcBorders>
            <w:vAlign w:val="center"/>
          </w:tcPr>
          <w:p w14:paraId="23737894" w14:textId="77777777" w:rsidR="00200F48" w:rsidRPr="00200F48" w:rsidRDefault="00200F48" w:rsidP="00200F48">
            <w:pPr>
              <w:spacing w:before="120" w:after="120" w:line="360" w:lineRule="auto"/>
              <w:rPr>
                <w:rFonts w:ascii="Arial" w:hAnsi="Arial" w:cs="Arial"/>
                <w:b/>
                <w:sz w:val="24"/>
                <w:szCs w:val="24"/>
              </w:rPr>
            </w:pPr>
          </w:p>
        </w:tc>
        <w:tc>
          <w:tcPr>
            <w:tcW w:w="1853" w:type="dxa"/>
            <w:gridSpan w:val="6"/>
            <w:tcBorders>
              <w:top w:val="single" w:sz="2" w:space="0" w:color="auto"/>
              <w:bottom w:val="single" w:sz="2" w:space="0" w:color="auto"/>
            </w:tcBorders>
            <w:shd w:val="clear" w:color="auto" w:fill="CCC0D9"/>
            <w:vAlign w:val="center"/>
          </w:tcPr>
          <w:p w14:paraId="1FE592F2"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NIE</w:t>
            </w:r>
          </w:p>
        </w:tc>
        <w:tc>
          <w:tcPr>
            <w:tcW w:w="1845" w:type="dxa"/>
            <w:tcBorders>
              <w:top w:val="single" w:sz="2" w:space="0" w:color="auto"/>
              <w:bottom w:val="single" w:sz="2" w:space="0" w:color="auto"/>
            </w:tcBorders>
            <w:vAlign w:val="center"/>
          </w:tcPr>
          <w:p w14:paraId="454304D6" w14:textId="77777777" w:rsidR="00200F48" w:rsidRPr="00200F48" w:rsidRDefault="00200F48" w:rsidP="00200F48">
            <w:pPr>
              <w:spacing w:before="120" w:after="120" w:line="360" w:lineRule="auto"/>
              <w:jc w:val="center"/>
              <w:rPr>
                <w:rFonts w:ascii="Arial" w:hAnsi="Arial" w:cs="Arial"/>
                <w:b/>
                <w:sz w:val="24"/>
                <w:szCs w:val="24"/>
              </w:rPr>
            </w:pPr>
            <w:r w:rsidRPr="00200F48">
              <w:rPr>
                <w:rFonts w:ascii="Arial" w:hAnsi="Arial" w:cs="Arial"/>
                <w:b/>
                <w:sz w:val="24"/>
                <w:szCs w:val="24"/>
              </w:rPr>
              <w:t>X</w:t>
            </w:r>
          </w:p>
        </w:tc>
      </w:tr>
      <w:tr w:rsidR="00200F48" w:rsidRPr="00200F48" w14:paraId="10FE6077" w14:textId="77777777" w:rsidTr="00B81D3B">
        <w:trPr>
          <w:trHeight w:val="434"/>
        </w:trPr>
        <w:tc>
          <w:tcPr>
            <w:tcW w:w="1980" w:type="dxa"/>
            <w:gridSpan w:val="4"/>
            <w:tcBorders>
              <w:top w:val="single" w:sz="2" w:space="0" w:color="auto"/>
              <w:bottom w:val="single" w:sz="2" w:space="0" w:color="auto"/>
            </w:tcBorders>
            <w:shd w:val="clear" w:color="auto" w:fill="CCC0D9"/>
            <w:vAlign w:val="center"/>
          </w:tcPr>
          <w:p w14:paraId="7DBA7F5B"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 xml:space="preserve">Podmioty, które będą partnerami </w:t>
            </w:r>
            <w:r w:rsidRPr="00200F48">
              <w:rPr>
                <w:rFonts w:ascii="Arial" w:hAnsi="Arial" w:cs="Arial"/>
                <w:sz w:val="24"/>
                <w:szCs w:val="24"/>
              </w:rPr>
              <w:br/>
              <w:t xml:space="preserve">w projekcie </w:t>
            </w:r>
            <w:r w:rsidRPr="00200F48">
              <w:rPr>
                <w:rFonts w:ascii="Arial" w:hAnsi="Arial" w:cs="Arial"/>
                <w:sz w:val="24"/>
                <w:szCs w:val="24"/>
              </w:rPr>
              <w:br/>
              <w:t>i uzasadnienie ich wyboru</w:t>
            </w:r>
            <w:r w:rsidRPr="00200F48">
              <w:rPr>
                <w:rFonts w:ascii="Arial" w:hAnsi="Arial" w:cs="Arial"/>
                <w:sz w:val="24"/>
                <w:szCs w:val="24"/>
                <w:vertAlign w:val="superscript"/>
              </w:rPr>
              <w:footnoteReference w:id="21"/>
            </w:r>
          </w:p>
        </w:tc>
        <w:tc>
          <w:tcPr>
            <w:tcW w:w="7376" w:type="dxa"/>
            <w:gridSpan w:val="14"/>
            <w:tcBorders>
              <w:top w:val="single" w:sz="2" w:space="0" w:color="auto"/>
              <w:bottom w:val="single" w:sz="2" w:space="0" w:color="auto"/>
            </w:tcBorders>
            <w:shd w:val="clear" w:color="auto" w:fill="FFFFFF"/>
            <w:vAlign w:val="center"/>
          </w:tcPr>
          <w:p w14:paraId="76B4CBE1"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Nie dotyczy</w:t>
            </w:r>
          </w:p>
        </w:tc>
      </w:tr>
      <w:tr w:rsidR="00200F48" w:rsidRPr="00200F48" w14:paraId="789A8A59" w14:textId="77777777" w:rsidTr="00B81D3B">
        <w:trPr>
          <w:trHeight w:val="434"/>
        </w:trPr>
        <w:tc>
          <w:tcPr>
            <w:tcW w:w="1980" w:type="dxa"/>
            <w:gridSpan w:val="4"/>
            <w:tcBorders>
              <w:top w:val="single" w:sz="2" w:space="0" w:color="auto"/>
              <w:bottom w:val="single" w:sz="2" w:space="0" w:color="auto"/>
            </w:tcBorders>
            <w:shd w:val="clear" w:color="auto" w:fill="CCC0D9"/>
            <w:vAlign w:val="center"/>
          </w:tcPr>
          <w:p w14:paraId="09C77419"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Czy projekt będzie projektem grantowym?</w:t>
            </w:r>
          </w:p>
        </w:tc>
        <w:tc>
          <w:tcPr>
            <w:tcW w:w="1842" w:type="dxa"/>
            <w:gridSpan w:val="4"/>
            <w:tcBorders>
              <w:top w:val="single" w:sz="2" w:space="0" w:color="auto"/>
              <w:bottom w:val="single" w:sz="2" w:space="0" w:color="auto"/>
            </w:tcBorders>
            <w:shd w:val="clear" w:color="auto" w:fill="CCC0D9"/>
            <w:vAlign w:val="center"/>
          </w:tcPr>
          <w:p w14:paraId="43BDA5C5"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TAK</w:t>
            </w:r>
          </w:p>
        </w:tc>
        <w:tc>
          <w:tcPr>
            <w:tcW w:w="1843" w:type="dxa"/>
            <w:gridSpan w:val="4"/>
            <w:tcBorders>
              <w:top w:val="single" w:sz="2" w:space="0" w:color="auto"/>
              <w:bottom w:val="single" w:sz="2" w:space="0" w:color="auto"/>
            </w:tcBorders>
            <w:shd w:val="clear" w:color="auto" w:fill="FFFFFF"/>
            <w:vAlign w:val="center"/>
          </w:tcPr>
          <w:p w14:paraId="5D8D435E" w14:textId="77777777" w:rsidR="00200F48" w:rsidRPr="00200F48" w:rsidRDefault="00200F48" w:rsidP="00200F48">
            <w:pPr>
              <w:spacing w:before="120" w:after="120" w:line="360" w:lineRule="auto"/>
              <w:rPr>
                <w:rFonts w:ascii="Arial" w:hAnsi="Arial" w:cs="Arial"/>
                <w:b/>
                <w:sz w:val="24"/>
                <w:szCs w:val="24"/>
              </w:rPr>
            </w:pPr>
          </w:p>
        </w:tc>
        <w:tc>
          <w:tcPr>
            <w:tcW w:w="1846" w:type="dxa"/>
            <w:gridSpan w:val="5"/>
            <w:tcBorders>
              <w:top w:val="single" w:sz="2" w:space="0" w:color="auto"/>
              <w:bottom w:val="single" w:sz="2" w:space="0" w:color="auto"/>
            </w:tcBorders>
            <w:shd w:val="clear" w:color="auto" w:fill="CCC0D9"/>
            <w:vAlign w:val="center"/>
          </w:tcPr>
          <w:p w14:paraId="0F5E4DF6"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NIE</w:t>
            </w:r>
          </w:p>
        </w:tc>
        <w:tc>
          <w:tcPr>
            <w:tcW w:w="1845" w:type="dxa"/>
            <w:tcBorders>
              <w:top w:val="single" w:sz="2" w:space="0" w:color="auto"/>
              <w:bottom w:val="single" w:sz="2" w:space="0" w:color="auto"/>
            </w:tcBorders>
            <w:shd w:val="clear" w:color="auto" w:fill="FFFFFF"/>
            <w:vAlign w:val="center"/>
          </w:tcPr>
          <w:p w14:paraId="2FE17D8E" w14:textId="77777777" w:rsidR="00200F48" w:rsidRPr="00200F48" w:rsidRDefault="00200F48" w:rsidP="00200F48">
            <w:pPr>
              <w:spacing w:before="120" w:after="120" w:line="360" w:lineRule="auto"/>
              <w:jc w:val="center"/>
              <w:rPr>
                <w:rFonts w:ascii="Arial" w:hAnsi="Arial" w:cs="Arial"/>
                <w:b/>
                <w:sz w:val="24"/>
                <w:szCs w:val="24"/>
              </w:rPr>
            </w:pPr>
            <w:r w:rsidRPr="00200F48">
              <w:rPr>
                <w:rFonts w:ascii="Arial" w:hAnsi="Arial" w:cs="Arial"/>
                <w:b/>
                <w:sz w:val="24"/>
                <w:szCs w:val="24"/>
              </w:rPr>
              <w:t>X</w:t>
            </w:r>
          </w:p>
        </w:tc>
      </w:tr>
      <w:tr w:rsidR="00200F48" w:rsidRPr="00200F48" w14:paraId="1DE4A766" w14:textId="77777777" w:rsidTr="00B81D3B">
        <w:trPr>
          <w:trHeight w:val="434"/>
        </w:trPr>
        <w:tc>
          <w:tcPr>
            <w:tcW w:w="1980" w:type="dxa"/>
            <w:gridSpan w:val="4"/>
            <w:tcBorders>
              <w:top w:val="single" w:sz="2" w:space="0" w:color="auto"/>
              <w:bottom w:val="single" w:sz="2" w:space="0" w:color="auto"/>
            </w:tcBorders>
            <w:shd w:val="clear" w:color="auto" w:fill="CCC0D9"/>
            <w:vAlign w:val="center"/>
          </w:tcPr>
          <w:p w14:paraId="5BBA6966"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 xml:space="preserve">Przewidywany termin </w:t>
            </w:r>
            <w:r w:rsidRPr="00200F48">
              <w:rPr>
                <w:rFonts w:ascii="Arial" w:hAnsi="Arial" w:cs="Arial"/>
                <w:sz w:val="24"/>
                <w:szCs w:val="24"/>
              </w:rPr>
              <w:br/>
              <w:t xml:space="preserve">złożenia wniosku </w:t>
            </w:r>
            <w:r w:rsidRPr="00200F48">
              <w:rPr>
                <w:rFonts w:ascii="Arial" w:hAnsi="Arial" w:cs="Arial"/>
                <w:sz w:val="24"/>
                <w:szCs w:val="24"/>
              </w:rPr>
              <w:br/>
              <w:t>o dofinansowanie</w:t>
            </w:r>
            <w:r w:rsidRPr="00200F48">
              <w:rPr>
                <w:rFonts w:ascii="Arial" w:hAnsi="Arial" w:cs="Arial"/>
                <w:sz w:val="24"/>
                <w:szCs w:val="24"/>
              </w:rPr>
              <w:br/>
              <w:t xml:space="preserve">(kwartał albo </w:t>
            </w:r>
            <w:r w:rsidRPr="00200F48">
              <w:rPr>
                <w:rFonts w:ascii="Arial" w:hAnsi="Arial" w:cs="Arial"/>
                <w:sz w:val="24"/>
                <w:szCs w:val="24"/>
              </w:rPr>
              <w:lastRenderedPageBreak/>
              <w:t>miesiąc oraz rok)</w:t>
            </w:r>
          </w:p>
        </w:tc>
        <w:tc>
          <w:tcPr>
            <w:tcW w:w="7376" w:type="dxa"/>
            <w:gridSpan w:val="14"/>
            <w:tcBorders>
              <w:top w:val="single" w:sz="2" w:space="0" w:color="auto"/>
              <w:bottom w:val="single" w:sz="2" w:space="0" w:color="auto"/>
            </w:tcBorders>
            <w:vAlign w:val="center"/>
          </w:tcPr>
          <w:p w14:paraId="196A4BA5"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lastRenderedPageBreak/>
              <w:t>IV kwartał 2020</w:t>
            </w:r>
          </w:p>
        </w:tc>
      </w:tr>
      <w:tr w:rsidR="00200F48" w:rsidRPr="00200F48" w14:paraId="0672ACD0" w14:textId="77777777" w:rsidTr="00B81D3B">
        <w:trPr>
          <w:trHeight w:val="469"/>
        </w:trPr>
        <w:tc>
          <w:tcPr>
            <w:tcW w:w="1980" w:type="dxa"/>
            <w:gridSpan w:val="4"/>
            <w:tcBorders>
              <w:top w:val="single" w:sz="2" w:space="0" w:color="auto"/>
              <w:bottom w:val="single" w:sz="12" w:space="0" w:color="auto"/>
            </w:tcBorders>
            <w:shd w:val="clear" w:color="auto" w:fill="CCC0D9"/>
            <w:vAlign w:val="center"/>
          </w:tcPr>
          <w:p w14:paraId="67F6BF35"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lastRenderedPageBreak/>
              <w:t xml:space="preserve">Przewidywany okres realizacji projektu </w:t>
            </w:r>
          </w:p>
        </w:tc>
        <w:tc>
          <w:tcPr>
            <w:tcW w:w="1832" w:type="dxa"/>
            <w:gridSpan w:val="3"/>
            <w:tcBorders>
              <w:top w:val="single" w:sz="2" w:space="0" w:color="auto"/>
              <w:bottom w:val="single" w:sz="12" w:space="0" w:color="auto"/>
            </w:tcBorders>
            <w:shd w:val="clear" w:color="auto" w:fill="CCC0D9"/>
            <w:vAlign w:val="center"/>
          </w:tcPr>
          <w:p w14:paraId="00123537"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Data rozpoczęcia (miesiąc oraz rok)</w:t>
            </w:r>
          </w:p>
        </w:tc>
        <w:tc>
          <w:tcPr>
            <w:tcW w:w="1846" w:type="dxa"/>
            <w:gridSpan w:val="4"/>
            <w:tcBorders>
              <w:top w:val="single" w:sz="2" w:space="0" w:color="auto"/>
              <w:bottom w:val="single" w:sz="12" w:space="0" w:color="auto"/>
            </w:tcBorders>
            <w:vAlign w:val="center"/>
          </w:tcPr>
          <w:p w14:paraId="5590341B"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07.2021</w:t>
            </w:r>
          </w:p>
        </w:tc>
        <w:tc>
          <w:tcPr>
            <w:tcW w:w="1853" w:type="dxa"/>
            <w:gridSpan w:val="6"/>
            <w:tcBorders>
              <w:top w:val="single" w:sz="2" w:space="0" w:color="auto"/>
              <w:bottom w:val="single" w:sz="12" w:space="0" w:color="auto"/>
            </w:tcBorders>
            <w:shd w:val="clear" w:color="auto" w:fill="CCC0D9"/>
            <w:vAlign w:val="center"/>
          </w:tcPr>
          <w:p w14:paraId="182BC156"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Data zakończenia (miesiąc oraz rok)</w:t>
            </w:r>
          </w:p>
        </w:tc>
        <w:tc>
          <w:tcPr>
            <w:tcW w:w="1845" w:type="dxa"/>
            <w:tcBorders>
              <w:top w:val="single" w:sz="2" w:space="0" w:color="auto"/>
              <w:bottom w:val="single" w:sz="12" w:space="0" w:color="auto"/>
            </w:tcBorders>
            <w:vAlign w:val="center"/>
          </w:tcPr>
          <w:p w14:paraId="61A4B2F8"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03.2023</w:t>
            </w:r>
          </w:p>
        </w:tc>
      </w:tr>
      <w:tr w:rsidR="00200F48" w:rsidRPr="00200F48" w14:paraId="0A795C2B" w14:textId="77777777" w:rsidTr="00B81D3B">
        <w:trPr>
          <w:trHeight w:val="567"/>
        </w:trPr>
        <w:tc>
          <w:tcPr>
            <w:tcW w:w="9356" w:type="dxa"/>
            <w:gridSpan w:val="18"/>
            <w:tcBorders>
              <w:top w:val="single" w:sz="12" w:space="0" w:color="auto"/>
              <w:bottom w:val="single" w:sz="12" w:space="0" w:color="auto"/>
            </w:tcBorders>
            <w:shd w:val="clear" w:color="auto" w:fill="CCC0D9"/>
            <w:vAlign w:val="center"/>
          </w:tcPr>
          <w:p w14:paraId="785C5D6F"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SZACOWANY BUDŻET PROJEKTU</w:t>
            </w:r>
          </w:p>
        </w:tc>
      </w:tr>
      <w:tr w:rsidR="00200F48" w:rsidRPr="00200F48" w14:paraId="41E89907" w14:textId="77777777" w:rsidTr="00B81D3B">
        <w:trPr>
          <w:trHeight w:val="567"/>
        </w:trPr>
        <w:tc>
          <w:tcPr>
            <w:tcW w:w="9356" w:type="dxa"/>
            <w:gridSpan w:val="18"/>
            <w:tcBorders>
              <w:top w:val="single" w:sz="12" w:space="0" w:color="auto"/>
              <w:bottom w:val="single" w:sz="2" w:space="0" w:color="auto"/>
            </w:tcBorders>
            <w:shd w:val="clear" w:color="auto" w:fill="CCC0D9"/>
            <w:vAlign w:val="center"/>
          </w:tcPr>
          <w:p w14:paraId="6CD1A660"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Szacowana kwota wydatków w projekcie w podziale na lata i ogółem (PLN)</w:t>
            </w:r>
          </w:p>
        </w:tc>
      </w:tr>
      <w:tr w:rsidR="00200F48" w:rsidRPr="00200F48" w14:paraId="5698276E" w14:textId="77777777" w:rsidTr="00B81D3B">
        <w:trPr>
          <w:trHeight w:val="567"/>
        </w:trPr>
        <w:tc>
          <w:tcPr>
            <w:tcW w:w="1843" w:type="dxa"/>
            <w:gridSpan w:val="3"/>
            <w:tcBorders>
              <w:top w:val="single" w:sz="2" w:space="0" w:color="auto"/>
              <w:bottom w:val="single" w:sz="2" w:space="0" w:color="auto"/>
            </w:tcBorders>
            <w:shd w:val="clear" w:color="auto" w:fill="CCC0D9"/>
            <w:vAlign w:val="center"/>
          </w:tcPr>
          <w:p w14:paraId="1343679B" w14:textId="77777777" w:rsidR="00200F48" w:rsidRPr="00200F48" w:rsidRDefault="00200F48" w:rsidP="00200F48">
            <w:pPr>
              <w:spacing w:before="120" w:after="120" w:line="360" w:lineRule="auto"/>
              <w:rPr>
                <w:rFonts w:ascii="Arial" w:hAnsi="Arial" w:cs="Arial"/>
                <w:sz w:val="24"/>
                <w:szCs w:val="24"/>
              </w:rPr>
            </w:pPr>
            <w:proofErr w:type="gramStart"/>
            <w:r w:rsidRPr="00200F48">
              <w:rPr>
                <w:rFonts w:ascii="Arial" w:hAnsi="Arial" w:cs="Arial"/>
                <w:sz w:val="24"/>
                <w:szCs w:val="24"/>
              </w:rPr>
              <w:t>w</w:t>
            </w:r>
            <w:proofErr w:type="gramEnd"/>
            <w:r w:rsidRPr="00200F48">
              <w:rPr>
                <w:rFonts w:ascii="Arial" w:hAnsi="Arial" w:cs="Arial"/>
                <w:sz w:val="24"/>
                <w:szCs w:val="24"/>
              </w:rPr>
              <w:t xml:space="preserve"> roku 2020</w:t>
            </w:r>
          </w:p>
        </w:tc>
        <w:tc>
          <w:tcPr>
            <w:tcW w:w="1560" w:type="dxa"/>
            <w:gridSpan w:val="3"/>
            <w:tcBorders>
              <w:top w:val="single" w:sz="2" w:space="0" w:color="auto"/>
              <w:bottom w:val="single" w:sz="2" w:space="0" w:color="auto"/>
            </w:tcBorders>
            <w:shd w:val="clear" w:color="auto" w:fill="CCC0D9"/>
            <w:vAlign w:val="center"/>
          </w:tcPr>
          <w:p w14:paraId="1BEA526B" w14:textId="77777777" w:rsidR="00200F48" w:rsidRPr="00200F48" w:rsidRDefault="00200F48" w:rsidP="00200F48">
            <w:pPr>
              <w:spacing w:before="120" w:after="120" w:line="360" w:lineRule="auto"/>
              <w:rPr>
                <w:rFonts w:ascii="Arial" w:hAnsi="Arial" w:cs="Arial"/>
                <w:sz w:val="24"/>
                <w:szCs w:val="24"/>
              </w:rPr>
            </w:pPr>
            <w:proofErr w:type="gramStart"/>
            <w:r w:rsidRPr="00200F48">
              <w:rPr>
                <w:rFonts w:ascii="Arial" w:hAnsi="Arial" w:cs="Arial"/>
                <w:sz w:val="24"/>
                <w:szCs w:val="24"/>
              </w:rPr>
              <w:t>w</w:t>
            </w:r>
            <w:proofErr w:type="gramEnd"/>
            <w:r w:rsidRPr="00200F48">
              <w:rPr>
                <w:rFonts w:ascii="Arial" w:hAnsi="Arial" w:cs="Arial"/>
                <w:sz w:val="24"/>
                <w:szCs w:val="24"/>
              </w:rPr>
              <w:t xml:space="preserve"> roku 2021</w:t>
            </w:r>
          </w:p>
        </w:tc>
        <w:tc>
          <w:tcPr>
            <w:tcW w:w="1842" w:type="dxa"/>
            <w:gridSpan w:val="4"/>
            <w:tcBorders>
              <w:top w:val="single" w:sz="2" w:space="0" w:color="auto"/>
              <w:bottom w:val="single" w:sz="2" w:space="0" w:color="auto"/>
            </w:tcBorders>
            <w:shd w:val="clear" w:color="auto" w:fill="CCC0D9"/>
            <w:vAlign w:val="center"/>
          </w:tcPr>
          <w:p w14:paraId="076893B0" w14:textId="77777777" w:rsidR="00200F48" w:rsidRPr="00200F48" w:rsidRDefault="00200F48" w:rsidP="00200F48">
            <w:pPr>
              <w:spacing w:before="120" w:after="120" w:line="360" w:lineRule="auto"/>
              <w:rPr>
                <w:rFonts w:ascii="Arial" w:hAnsi="Arial" w:cs="Arial"/>
                <w:sz w:val="24"/>
                <w:szCs w:val="24"/>
              </w:rPr>
            </w:pPr>
            <w:proofErr w:type="gramStart"/>
            <w:r w:rsidRPr="00200F48">
              <w:rPr>
                <w:rFonts w:ascii="Arial" w:hAnsi="Arial" w:cs="Arial"/>
                <w:sz w:val="24"/>
                <w:szCs w:val="24"/>
              </w:rPr>
              <w:t>w</w:t>
            </w:r>
            <w:proofErr w:type="gramEnd"/>
            <w:r w:rsidRPr="00200F48">
              <w:rPr>
                <w:rFonts w:ascii="Arial" w:hAnsi="Arial" w:cs="Arial"/>
                <w:sz w:val="24"/>
                <w:szCs w:val="24"/>
              </w:rPr>
              <w:t xml:space="preserve"> roku 2022</w:t>
            </w:r>
          </w:p>
        </w:tc>
        <w:tc>
          <w:tcPr>
            <w:tcW w:w="1843" w:type="dxa"/>
            <w:gridSpan w:val="5"/>
            <w:tcBorders>
              <w:top w:val="single" w:sz="2" w:space="0" w:color="auto"/>
              <w:bottom w:val="single" w:sz="2" w:space="0" w:color="auto"/>
            </w:tcBorders>
            <w:shd w:val="clear" w:color="auto" w:fill="CCC0D9"/>
            <w:vAlign w:val="center"/>
          </w:tcPr>
          <w:p w14:paraId="51F67EFC" w14:textId="77777777" w:rsidR="00200F48" w:rsidRPr="00200F48" w:rsidRDefault="00200F48" w:rsidP="00200F48">
            <w:pPr>
              <w:spacing w:before="120" w:after="120" w:line="360" w:lineRule="auto"/>
              <w:rPr>
                <w:rFonts w:ascii="Arial" w:hAnsi="Arial" w:cs="Arial"/>
                <w:sz w:val="24"/>
                <w:szCs w:val="24"/>
              </w:rPr>
            </w:pPr>
            <w:proofErr w:type="gramStart"/>
            <w:r w:rsidRPr="00200F48">
              <w:rPr>
                <w:rFonts w:ascii="Arial" w:hAnsi="Arial" w:cs="Arial"/>
                <w:sz w:val="24"/>
                <w:szCs w:val="24"/>
              </w:rPr>
              <w:t>w</w:t>
            </w:r>
            <w:proofErr w:type="gramEnd"/>
            <w:r w:rsidRPr="00200F48">
              <w:rPr>
                <w:rFonts w:ascii="Arial" w:hAnsi="Arial" w:cs="Arial"/>
                <w:sz w:val="24"/>
                <w:szCs w:val="24"/>
              </w:rPr>
              <w:t xml:space="preserve"> roku 2023</w:t>
            </w:r>
          </w:p>
        </w:tc>
        <w:tc>
          <w:tcPr>
            <w:tcW w:w="2268" w:type="dxa"/>
            <w:gridSpan w:val="3"/>
            <w:tcBorders>
              <w:top w:val="single" w:sz="2" w:space="0" w:color="auto"/>
              <w:bottom w:val="single" w:sz="2" w:space="0" w:color="auto"/>
            </w:tcBorders>
            <w:shd w:val="clear" w:color="auto" w:fill="CCC0D9"/>
            <w:vAlign w:val="center"/>
          </w:tcPr>
          <w:p w14:paraId="78725E4A" w14:textId="77777777" w:rsidR="00200F48" w:rsidRPr="00200F48" w:rsidRDefault="00200F48" w:rsidP="00200F48">
            <w:pPr>
              <w:spacing w:before="120" w:after="120" w:line="360" w:lineRule="auto"/>
              <w:rPr>
                <w:rFonts w:ascii="Arial" w:hAnsi="Arial" w:cs="Arial"/>
                <w:sz w:val="24"/>
                <w:szCs w:val="24"/>
              </w:rPr>
            </w:pPr>
            <w:proofErr w:type="gramStart"/>
            <w:r w:rsidRPr="00200F48">
              <w:rPr>
                <w:rFonts w:ascii="Arial" w:hAnsi="Arial" w:cs="Arial"/>
                <w:sz w:val="24"/>
                <w:szCs w:val="24"/>
              </w:rPr>
              <w:t>ogółem</w:t>
            </w:r>
            <w:proofErr w:type="gramEnd"/>
          </w:p>
        </w:tc>
      </w:tr>
      <w:tr w:rsidR="00200F48" w:rsidRPr="00200F48" w14:paraId="35207892" w14:textId="77777777" w:rsidTr="00B81D3B">
        <w:trPr>
          <w:trHeight w:val="567"/>
        </w:trPr>
        <w:tc>
          <w:tcPr>
            <w:tcW w:w="1843" w:type="dxa"/>
            <w:gridSpan w:val="3"/>
            <w:tcBorders>
              <w:top w:val="single" w:sz="2" w:space="0" w:color="auto"/>
              <w:bottom w:val="single" w:sz="2" w:space="0" w:color="auto"/>
            </w:tcBorders>
            <w:shd w:val="clear" w:color="auto" w:fill="FFFFFF"/>
            <w:vAlign w:val="center"/>
          </w:tcPr>
          <w:p w14:paraId="262D8C31"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0</w:t>
            </w:r>
          </w:p>
        </w:tc>
        <w:tc>
          <w:tcPr>
            <w:tcW w:w="1560" w:type="dxa"/>
            <w:gridSpan w:val="3"/>
            <w:tcBorders>
              <w:top w:val="single" w:sz="2" w:space="0" w:color="auto"/>
              <w:bottom w:val="single" w:sz="2" w:space="0" w:color="auto"/>
            </w:tcBorders>
            <w:shd w:val="clear" w:color="auto" w:fill="FFFFFF"/>
            <w:vAlign w:val="center"/>
          </w:tcPr>
          <w:p w14:paraId="3C67F67D"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300.000</w:t>
            </w:r>
          </w:p>
        </w:tc>
        <w:tc>
          <w:tcPr>
            <w:tcW w:w="1842" w:type="dxa"/>
            <w:gridSpan w:val="4"/>
            <w:tcBorders>
              <w:top w:val="single" w:sz="2" w:space="0" w:color="auto"/>
              <w:bottom w:val="single" w:sz="2" w:space="0" w:color="auto"/>
            </w:tcBorders>
            <w:shd w:val="clear" w:color="auto" w:fill="FFFFFF"/>
            <w:vAlign w:val="center"/>
          </w:tcPr>
          <w:p w14:paraId="7B67E635"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1.200.000</w:t>
            </w:r>
          </w:p>
        </w:tc>
        <w:tc>
          <w:tcPr>
            <w:tcW w:w="1843" w:type="dxa"/>
            <w:gridSpan w:val="5"/>
            <w:tcBorders>
              <w:top w:val="single" w:sz="2" w:space="0" w:color="auto"/>
              <w:bottom w:val="single" w:sz="2" w:space="0" w:color="auto"/>
            </w:tcBorders>
            <w:shd w:val="clear" w:color="auto" w:fill="FFFFFF"/>
            <w:vAlign w:val="center"/>
          </w:tcPr>
          <w:p w14:paraId="5BF7866C"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400.000</w:t>
            </w:r>
          </w:p>
        </w:tc>
        <w:tc>
          <w:tcPr>
            <w:tcW w:w="2268" w:type="dxa"/>
            <w:gridSpan w:val="3"/>
            <w:tcBorders>
              <w:top w:val="single" w:sz="2" w:space="0" w:color="auto"/>
              <w:bottom w:val="single" w:sz="2" w:space="0" w:color="auto"/>
            </w:tcBorders>
            <w:shd w:val="clear" w:color="auto" w:fill="FFFFFF"/>
            <w:vAlign w:val="center"/>
          </w:tcPr>
          <w:p w14:paraId="41ECD126"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1.900.000</w:t>
            </w:r>
          </w:p>
        </w:tc>
      </w:tr>
      <w:tr w:rsidR="00200F48" w:rsidRPr="00200F48" w14:paraId="5339AD88" w14:textId="77777777" w:rsidTr="00B81D3B">
        <w:trPr>
          <w:trHeight w:val="567"/>
        </w:trPr>
        <w:tc>
          <w:tcPr>
            <w:tcW w:w="9356" w:type="dxa"/>
            <w:gridSpan w:val="18"/>
            <w:tcBorders>
              <w:top w:val="single" w:sz="2" w:space="0" w:color="auto"/>
              <w:bottom w:val="single" w:sz="2" w:space="0" w:color="auto"/>
            </w:tcBorders>
            <w:shd w:val="clear" w:color="auto" w:fill="CCC0D9"/>
            <w:vAlign w:val="center"/>
          </w:tcPr>
          <w:p w14:paraId="39BE43BE"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Szacowany wkład własny beneficjenta (PLN)</w:t>
            </w:r>
          </w:p>
        </w:tc>
      </w:tr>
      <w:tr w:rsidR="00200F48" w:rsidRPr="00200F48" w14:paraId="2F455106" w14:textId="77777777" w:rsidTr="00B81D3B">
        <w:trPr>
          <w:trHeight w:val="567"/>
        </w:trPr>
        <w:tc>
          <w:tcPr>
            <w:tcW w:w="1132" w:type="dxa"/>
            <w:tcBorders>
              <w:top w:val="single" w:sz="2" w:space="0" w:color="auto"/>
              <w:bottom w:val="single" w:sz="2" w:space="0" w:color="auto"/>
            </w:tcBorders>
            <w:shd w:val="clear" w:color="auto" w:fill="CCC0D9"/>
            <w:vAlign w:val="center"/>
          </w:tcPr>
          <w:p w14:paraId="66C32E9E"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TAK</w:t>
            </w:r>
            <w:r w:rsidRPr="00200F48" w:rsidDel="00053FC2">
              <w:rPr>
                <w:rFonts w:ascii="Arial" w:hAnsi="Arial" w:cs="Arial"/>
                <w:sz w:val="24"/>
                <w:szCs w:val="24"/>
              </w:rPr>
              <w:t xml:space="preserve"> </w:t>
            </w:r>
          </w:p>
        </w:tc>
        <w:tc>
          <w:tcPr>
            <w:tcW w:w="5099" w:type="dxa"/>
            <w:gridSpan w:val="13"/>
            <w:tcBorders>
              <w:top w:val="single" w:sz="2" w:space="0" w:color="auto"/>
              <w:bottom w:val="single" w:sz="2" w:space="0" w:color="auto"/>
            </w:tcBorders>
            <w:shd w:val="clear" w:color="auto" w:fill="FFFFFF"/>
            <w:vAlign w:val="center"/>
          </w:tcPr>
          <w:p w14:paraId="68E05909"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 (PLN)</w:t>
            </w:r>
          </w:p>
        </w:tc>
        <w:tc>
          <w:tcPr>
            <w:tcW w:w="1135" w:type="dxa"/>
            <w:gridSpan w:val="2"/>
            <w:tcBorders>
              <w:top w:val="single" w:sz="2" w:space="0" w:color="auto"/>
              <w:bottom w:val="single" w:sz="2" w:space="0" w:color="auto"/>
            </w:tcBorders>
            <w:shd w:val="clear" w:color="auto" w:fill="CCC0D9"/>
            <w:vAlign w:val="center"/>
          </w:tcPr>
          <w:p w14:paraId="01C48EDB"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NIE</w:t>
            </w:r>
          </w:p>
        </w:tc>
        <w:tc>
          <w:tcPr>
            <w:tcW w:w="1990" w:type="dxa"/>
            <w:gridSpan w:val="2"/>
            <w:tcBorders>
              <w:top w:val="single" w:sz="2" w:space="0" w:color="auto"/>
              <w:bottom w:val="single" w:sz="2" w:space="0" w:color="auto"/>
            </w:tcBorders>
            <w:shd w:val="clear" w:color="auto" w:fill="FFFFFF"/>
            <w:vAlign w:val="center"/>
          </w:tcPr>
          <w:p w14:paraId="6CA92034"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X</w:t>
            </w:r>
          </w:p>
        </w:tc>
      </w:tr>
      <w:tr w:rsidR="00200F48" w:rsidRPr="00200F48" w14:paraId="2E08E111" w14:textId="77777777" w:rsidTr="00B81D3B">
        <w:trPr>
          <w:trHeight w:val="567"/>
        </w:trPr>
        <w:tc>
          <w:tcPr>
            <w:tcW w:w="9356" w:type="dxa"/>
            <w:gridSpan w:val="18"/>
            <w:tcBorders>
              <w:top w:val="single" w:sz="2" w:space="0" w:color="auto"/>
              <w:bottom w:val="single" w:sz="2" w:space="0" w:color="auto"/>
            </w:tcBorders>
            <w:shd w:val="clear" w:color="auto" w:fill="CCC0D9"/>
            <w:vAlign w:val="center"/>
          </w:tcPr>
          <w:p w14:paraId="11420D67"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Szacowany wkład UE (PLN)</w:t>
            </w:r>
          </w:p>
        </w:tc>
      </w:tr>
      <w:tr w:rsidR="00200F48" w:rsidRPr="00200F48" w14:paraId="46F6CF21" w14:textId="77777777" w:rsidTr="00B81D3B">
        <w:trPr>
          <w:trHeight w:val="567"/>
        </w:trPr>
        <w:tc>
          <w:tcPr>
            <w:tcW w:w="9356" w:type="dxa"/>
            <w:gridSpan w:val="18"/>
            <w:tcBorders>
              <w:top w:val="single" w:sz="2" w:space="0" w:color="auto"/>
              <w:bottom w:val="single" w:sz="12" w:space="0" w:color="auto"/>
            </w:tcBorders>
            <w:shd w:val="clear" w:color="auto" w:fill="FFFFFF"/>
            <w:vAlign w:val="center"/>
          </w:tcPr>
          <w:p w14:paraId="25AF08F1"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1.601.320,00</w:t>
            </w:r>
          </w:p>
        </w:tc>
      </w:tr>
      <w:tr w:rsidR="00200F48" w:rsidRPr="00200F48" w14:paraId="7683041D" w14:textId="77777777" w:rsidTr="00B81D3B">
        <w:trPr>
          <w:trHeight w:val="567"/>
        </w:trPr>
        <w:tc>
          <w:tcPr>
            <w:tcW w:w="9356" w:type="dxa"/>
            <w:gridSpan w:val="18"/>
            <w:tcBorders>
              <w:top w:val="single" w:sz="12" w:space="0" w:color="auto"/>
              <w:bottom w:val="single" w:sz="12" w:space="0" w:color="auto"/>
            </w:tcBorders>
            <w:shd w:val="clear" w:color="auto" w:fill="CCC0D9"/>
            <w:vAlign w:val="center"/>
          </w:tcPr>
          <w:p w14:paraId="05750D11"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OPIS PROJEKTU</w:t>
            </w:r>
          </w:p>
        </w:tc>
      </w:tr>
      <w:tr w:rsidR="00200F48" w:rsidRPr="00200F48" w14:paraId="43EB5C57" w14:textId="77777777" w:rsidTr="00B81D3B">
        <w:trPr>
          <w:trHeight w:val="567"/>
        </w:trPr>
        <w:tc>
          <w:tcPr>
            <w:tcW w:w="9356" w:type="dxa"/>
            <w:gridSpan w:val="18"/>
            <w:tcBorders>
              <w:top w:val="single" w:sz="12" w:space="0" w:color="auto"/>
              <w:bottom w:val="single" w:sz="4" w:space="0" w:color="auto"/>
            </w:tcBorders>
            <w:shd w:val="clear" w:color="auto" w:fill="CCC0D9"/>
            <w:vAlign w:val="center"/>
          </w:tcPr>
          <w:p w14:paraId="1B41BC8E"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Uzasadnienie realizacji projektu w trybie pozakonkursowym</w:t>
            </w:r>
            <w:r w:rsidRPr="00200F48">
              <w:rPr>
                <w:rFonts w:ascii="Arial" w:hAnsi="Arial" w:cs="Arial"/>
                <w:sz w:val="24"/>
                <w:szCs w:val="24"/>
                <w:vertAlign w:val="superscript"/>
              </w:rPr>
              <w:footnoteReference w:id="22"/>
            </w:r>
          </w:p>
        </w:tc>
      </w:tr>
      <w:tr w:rsidR="00200F48" w:rsidRPr="00200F48" w14:paraId="69ECF138" w14:textId="77777777" w:rsidTr="00B81D3B">
        <w:trPr>
          <w:trHeight w:val="567"/>
        </w:trPr>
        <w:tc>
          <w:tcPr>
            <w:tcW w:w="9356" w:type="dxa"/>
            <w:gridSpan w:val="18"/>
            <w:tcBorders>
              <w:top w:val="single" w:sz="4" w:space="0" w:color="auto"/>
              <w:bottom w:val="single" w:sz="4" w:space="0" w:color="auto"/>
            </w:tcBorders>
            <w:shd w:val="clear" w:color="auto" w:fill="auto"/>
            <w:vAlign w:val="center"/>
          </w:tcPr>
          <w:p w14:paraId="37425DC2"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Zastosowanie trybu pozakonkursowego wynika ze strategicznego charakteru planowanego działania. </w:t>
            </w:r>
          </w:p>
          <w:p w14:paraId="0813A163"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Odnosząc się do zapisów ustawy z dnia 11 lipca 2014 r. o zasadach realizacji programów w zakresie polityki spójności finansowanych w perspektywie finansowej 2014-2020 (tj. Dz. U. </w:t>
            </w:r>
            <w:proofErr w:type="gramStart"/>
            <w:r w:rsidRPr="00200F48">
              <w:rPr>
                <w:rFonts w:ascii="Arial" w:hAnsi="Arial" w:cs="Arial"/>
                <w:sz w:val="24"/>
                <w:szCs w:val="24"/>
              </w:rPr>
              <w:t>z</w:t>
            </w:r>
            <w:proofErr w:type="gramEnd"/>
            <w:r w:rsidRPr="00200F48">
              <w:rPr>
                <w:rFonts w:ascii="Arial" w:hAnsi="Arial" w:cs="Arial"/>
                <w:sz w:val="24"/>
                <w:szCs w:val="24"/>
              </w:rPr>
              <w:t xml:space="preserve"> 2018 r., poz. 1431 ze zm.), należy stwierdzić, iż przedmiotowy projekt spełnia kryteria dot. realizacji w trybie pozakonkursowym określone w art. 38. Realizacja projektu przyczyni się do podniesienia </w:t>
            </w:r>
            <w:r w:rsidRPr="00200F48">
              <w:rPr>
                <w:rFonts w:ascii="Arial" w:hAnsi="Arial" w:cs="Arial"/>
                <w:sz w:val="24"/>
                <w:szCs w:val="24"/>
              </w:rPr>
              <w:lastRenderedPageBreak/>
              <w:t xml:space="preserve">specjalistycznej wiedzy z zakresu zorganizowanej przestępczości transgranicznej wśród kadr wymiaru sprawiedliwości poprzez opracowanie programu szkolenia, szkolenia e-learningowego, a także przeprowadzenie szkoleń dedykowanych pracownikom sądów powszechnych i jednostek prokuratur. Niniejszy projekt dotyczy systemowego podnoszenia wiedzy grup zawodowych kadr wymiaru sprawiedliwości - sędziów i </w:t>
            </w:r>
            <w:proofErr w:type="gramStart"/>
            <w:r w:rsidRPr="00200F48">
              <w:rPr>
                <w:rFonts w:ascii="Arial" w:hAnsi="Arial" w:cs="Arial"/>
                <w:sz w:val="24"/>
                <w:szCs w:val="24"/>
              </w:rPr>
              <w:t>asesorów</w:t>
            </w:r>
            <w:proofErr w:type="gramEnd"/>
            <w:r w:rsidRPr="00200F48">
              <w:rPr>
                <w:rFonts w:ascii="Arial" w:hAnsi="Arial" w:cs="Arial"/>
                <w:sz w:val="24"/>
                <w:szCs w:val="24"/>
              </w:rPr>
              <w:t xml:space="preserve"> sądowych, prokuratorów i asesorów prokuratury, asystentów sędziów i asystentów prokuratorów. Występowanie prawnego obowiązku realizacji ww. zadań wynika z przepisów prawa powszechnie obowiązującego (ustawa z dnia 23 stycznia 2009 r. o Krajowej Szkole Sądownictwa i Prokuratury, tj. Dz.U. 2019, </w:t>
            </w:r>
            <w:proofErr w:type="gramStart"/>
            <w:r w:rsidRPr="00200F48">
              <w:rPr>
                <w:rFonts w:ascii="Arial" w:hAnsi="Arial" w:cs="Arial"/>
                <w:sz w:val="24"/>
                <w:szCs w:val="24"/>
              </w:rPr>
              <w:t>poz</w:t>
            </w:r>
            <w:proofErr w:type="gramEnd"/>
            <w:r w:rsidRPr="00200F48">
              <w:rPr>
                <w:rFonts w:ascii="Arial" w:hAnsi="Arial" w:cs="Arial"/>
                <w:sz w:val="24"/>
                <w:szCs w:val="24"/>
              </w:rPr>
              <w:t>. 1042, art. 2 pkt 2 i 3).</w:t>
            </w:r>
          </w:p>
          <w:p w14:paraId="7423187F" w14:textId="77777777" w:rsidR="00200F48" w:rsidRPr="00200F48" w:rsidRDefault="00200F48" w:rsidP="00200F48">
            <w:pPr>
              <w:autoSpaceDE w:val="0"/>
              <w:autoSpaceDN w:val="0"/>
              <w:adjustRightInd w:val="0"/>
              <w:spacing w:before="120" w:after="120" w:line="360" w:lineRule="auto"/>
              <w:rPr>
                <w:rFonts w:ascii="Arial" w:hAnsi="Arial" w:cs="Arial"/>
                <w:sz w:val="24"/>
                <w:szCs w:val="24"/>
                <w:lang w:val="de-DE" w:eastAsia="de-DE"/>
              </w:rPr>
            </w:pPr>
            <w:r w:rsidRPr="00200F48">
              <w:rPr>
                <w:rFonts w:ascii="Arial" w:hAnsi="Arial" w:cs="Arial"/>
                <w:sz w:val="24"/>
                <w:szCs w:val="24"/>
                <w:lang w:val="de-DE" w:eastAsia="de-DE"/>
              </w:rPr>
              <w:t xml:space="preserve">Na </w:t>
            </w:r>
            <w:proofErr w:type="spellStart"/>
            <w:r w:rsidRPr="00200F48">
              <w:rPr>
                <w:rFonts w:ascii="Arial" w:hAnsi="Arial" w:cs="Arial"/>
                <w:sz w:val="24"/>
                <w:szCs w:val="24"/>
                <w:lang w:val="de-DE" w:eastAsia="de-DE"/>
              </w:rPr>
              <w:t>przestrzeni</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ostatnich</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lat</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zauważalny</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jest</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stały</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rozwój</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przestępczości</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zorganizowanej</w:t>
            </w:r>
            <w:proofErr w:type="spellEnd"/>
            <w:r w:rsidRPr="00200F48">
              <w:rPr>
                <w:rFonts w:ascii="Arial" w:hAnsi="Arial" w:cs="Arial"/>
                <w:sz w:val="24"/>
                <w:szCs w:val="24"/>
                <w:lang w:val="de-DE" w:eastAsia="de-DE"/>
              </w:rPr>
              <w:t xml:space="preserve">, w </w:t>
            </w:r>
            <w:proofErr w:type="spellStart"/>
            <w:r w:rsidRPr="00200F48">
              <w:rPr>
                <w:rFonts w:ascii="Arial" w:hAnsi="Arial" w:cs="Arial"/>
                <w:sz w:val="24"/>
                <w:szCs w:val="24"/>
                <w:lang w:val="de-DE" w:eastAsia="de-DE"/>
              </w:rPr>
              <w:t>tym</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transgranicznej</w:t>
            </w:r>
            <w:proofErr w:type="spellEnd"/>
            <w:r w:rsidRPr="00200F48">
              <w:rPr>
                <w:rFonts w:ascii="Arial" w:hAnsi="Arial" w:cs="Arial"/>
                <w:sz w:val="24"/>
                <w:szCs w:val="24"/>
                <w:lang w:val="de-DE" w:eastAsia="de-DE"/>
              </w:rPr>
              <w:t xml:space="preserve">, w </w:t>
            </w:r>
            <w:proofErr w:type="spellStart"/>
            <w:r w:rsidRPr="00200F48">
              <w:rPr>
                <w:rFonts w:ascii="Arial" w:hAnsi="Arial" w:cs="Arial"/>
                <w:sz w:val="24"/>
                <w:szCs w:val="24"/>
                <w:lang w:val="de-DE" w:eastAsia="de-DE"/>
              </w:rPr>
              <w:t>szczególności</w:t>
            </w:r>
            <w:proofErr w:type="spellEnd"/>
            <w:r w:rsidRPr="00200F48">
              <w:rPr>
                <w:rFonts w:ascii="Arial" w:hAnsi="Arial" w:cs="Arial"/>
                <w:sz w:val="24"/>
                <w:szCs w:val="24"/>
                <w:lang w:val="de-DE" w:eastAsia="de-DE"/>
              </w:rPr>
              <w:t xml:space="preserve"> o </w:t>
            </w:r>
            <w:proofErr w:type="spellStart"/>
            <w:r w:rsidRPr="00200F48">
              <w:rPr>
                <w:rFonts w:ascii="Arial" w:hAnsi="Arial" w:cs="Arial"/>
                <w:sz w:val="24"/>
                <w:szCs w:val="24"/>
                <w:lang w:val="de-DE" w:eastAsia="de-DE"/>
              </w:rPr>
              <w:t>charakterze</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ekonomicznym</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ukierunkowanej</w:t>
            </w:r>
            <w:proofErr w:type="spellEnd"/>
            <w:r w:rsidRPr="00200F48">
              <w:rPr>
                <w:rFonts w:ascii="Arial" w:hAnsi="Arial" w:cs="Arial"/>
                <w:sz w:val="24"/>
                <w:szCs w:val="24"/>
                <w:lang w:val="de-DE" w:eastAsia="de-DE"/>
              </w:rPr>
              <w:t xml:space="preserve"> na </w:t>
            </w:r>
            <w:proofErr w:type="spellStart"/>
            <w:r w:rsidRPr="00200F48">
              <w:rPr>
                <w:rFonts w:ascii="Arial" w:hAnsi="Arial" w:cs="Arial"/>
                <w:sz w:val="24"/>
                <w:szCs w:val="24"/>
                <w:lang w:val="de-DE" w:eastAsia="de-DE"/>
              </w:rPr>
              <w:t>pozaprawne</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pozyskiwane</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mienia</w:t>
            </w:r>
            <w:proofErr w:type="spellEnd"/>
            <w:r w:rsidRPr="00200F48">
              <w:rPr>
                <w:rFonts w:ascii="Arial" w:hAnsi="Arial" w:cs="Arial"/>
                <w:sz w:val="24"/>
                <w:szCs w:val="24"/>
                <w:lang w:val="de-DE" w:eastAsia="de-DE"/>
              </w:rPr>
              <w:t>. W </w:t>
            </w:r>
            <w:proofErr w:type="spellStart"/>
            <w:r w:rsidRPr="00200F48">
              <w:rPr>
                <w:rFonts w:ascii="Arial" w:hAnsi="Arial" w:cs="Arial"/>
                <w:sz w:val="24"/>
                <w:szCs w:val="24"/>
                <w:lang w:val="de-DE" w:eastAsia="de-DE"/>
              </w:rPr>
              <w:t>procederze</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tym</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niejednokrotnie</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wykorzystywany</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jest</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rozwój</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technik</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cyfrowych</w:t>
            </w:r>
            <w:proofErr w:type="spellEnd"/>
            <w:r w:rsidRPr="00200F48">
              <w:rPr>
                <w:rFonts w:ascii="Arial" w:hAnsi="Arial" w:cs="Arial"/>
                <w:sz w:val="24"/>
                <w:szCs w:val="24"/>
                <w:lang w:val="de-DE" w:eastAsia="de-DE"/>
              </w:rPr>
              <w:t xml:space="preserve"> i </w:t>
            </w:r>
            <w:proofErr w:type="spellStart"/>
            <w:r w:rsidRPr="00200F48">
              <w:rPr>
                <w:rFonts w:ascii="Arial" w:hAnsi="Arial" w:cs="Arial"/>
                <w:sz w:val="24"/>
                <w:szCs w:val="24"/>
                <w:lang w:val="de-DE" w:eastAsia="de-DE"/>
              </w:rPr>
              <w:t>teleinformatycznych</w:t>
            </w:r>
            <w:proofErr w:type="spellEnd"/>
            <w:r w:rsidRPr="00200F48">
              <w:rPr>
                <w:rFonts w:ascii="Arial" w:hAnsi="Arial" w:cs="Arial"/>
                <w:sz w:val="24"/>
                <w:szCs w:val="24"/>
                <w:lang w:val="de-DE" w:eastAsia="de-DE"/>
              </w:rPr>
              <w:t xml:space="preserve"> w </w:t>
            </w:r>
            <w:proofErr w:type="spellStart"/>
            <w:r w:rsidRPr="00200F48">
              <w:rPr>
                <w:rFonts w:ascii="Arial" w:hAnsi="Arial" w:cs="Arial"/>
                <w:sz w:val="24"/>
                <w:szCs w:val="24"/>
                <w:lang w:val="de-DE" w:eastAsia="de-DE"/>
              </w:rPr>
              <w:t>tym</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Internetu</w:t>
            </w:r>
            <w:proofErr w:type="spellEnd"/>
            <w:r w:rsidRPr="00200F48">
              <w:rPr>
                <w:rFonts w:ascii="Arial" w:hAnsi="Arial" w:cs="Arial"/>
                <w:sz w:val="24"/>
                <w:szCs w:val="24"/>
                <w:lang w:val="de-DE" w:eastAsia="de-DE"/>
              </w:rPr>
              <w:t xml:space="preserve">. </w:t>
            </w:r>
          </w:p>
          <w:p w14:paraId="016FAF8F" w14:textId="77777777" w:rsidR="00200F48" w:rsidRPr="00200F48" w:rsidRDefault="00200F48" w:rsidP="00200F48">
            <w:pPr>
              <w:autoSpaceDE w:val="0"/>
              <w:autoSpaceDN w:val="0"/>
              <w:adjustRightInd w:val="0"/>
              <w:spacing w:before="120" w:after="120" w:line="360" w:lineRule="auto"/>
              <w:rPr>
                <w:rFonts w:ascii="Arial" w:hAnsi="Arial" w:cs="Arial"/>
                <w:sz w:val="24"/>
                <w:szCs w:val="24"/>
                <w:lang w:eastAsia="de-DE"/>
              </w:rPr>
            </w:pPr>
            <w:r w:rsidRPr="00200F48">
              <w:rPr>
                <w:rFonts w:ascii="Arial" w:hAnsi="Arial" w:cs="Arial"/>
                <w:sz w:val="24"/>
                <w:szCs w:val="24"/>
                <w:lang w:eastAsia="de-DE"/>
              </w:rPr>
              <w:t xml:space="preserve">Jego rozwojowi sprzyja globalizacja i otwarcie granic. </w:t>
            </w:r>
            <w:proofErr w:type="spellStart"/>
            <w:r w:rsidRPr="00200F48">
              <w:rPr>
                <w:rFonts w:ascii="Arial" w:hAnsi="Arial" w:cs="Arial"/>
                <w:sz w:val="24"/>
                <w:szCs w:val="24"/>
                <w:lang w:val="de-DE" w:eastAsia="de-DE"/>
              </w:rPr>
              <w:t>Sztandarowym</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procederem</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przestępczym</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staje</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się</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przestępstwo</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tzw</w:t>
            </w:r>
            <w:proofErr w:type="spellEnd"/>
            <w:r w:rsidRPr="00200F48">
              <w:rPr>
                <w:rFonts w:ascii="Arial" w:hAnsi="Arial" w:cs="Arial"/>
                <w:sz w:val="24"/>
                <w:szCs w:val="24"/>
                <w:lang w:val="de-DE" w:eastAsia="de-DE"/>
              </w:rPr>
              <w:t xml:space="preserve">. </w:t>
            </w:r>
            <w:r w:rsidRPr="00200F48">
              <w:rPr>
                <w:rFonts w:ascii="Arial" w:hAnsi="Arial" w:cs="Arial"/>
                <w:sz w:val="24"/>
                <w:szCs w:val="24"/>
                <w:lang w:eastAsia="de-DE"/>
              </w:rPr>
              <w:t xml:space="preserve">„prania brudnych pieniędzy”, które swoim zasięgiem częstokroć obejmuje obszary wielu krajów. Godzi jednocześnie w istotny sposób w bezpieczeństwo finansowe i gospodarcze Państwa, albowiem zasadza się na wprowadzaniu środków pieniężnych pochodzących z działań przestępczych do obrotu za pośrednictwem działalności gospodarczej w celu zapewnienia możliwości legalnego korzystania z nich. Przestępstwami bazowymi dla przestępstwa tzw. „prania brudnych pieniędzy” w zasadniczej mierze </w:t>
            </w:r>
            <w:proofErr w:type="gramStart"/>
            <w:r w:rsidRPr="00200F48">
              <w:rPr>
                <w:rFonts w:ascii="Arial" w:hAnsi="Arial" w:cs="Arial"/>
                <w:sz w:val="24"/>
                <w:szCs w:val="24"/>
                <w:lang w:eastAsia="de-DE"/>
              </w:rPr>
              <w:t>są  przestępstwa</w:t>
            </w:r>
            <w:proofErr w:type="gramEnd"/>
            <w:r w:rsidRPr="00200F48">
              <w:rPr>
                <w:rFonts w:ascii="Arial" w:hAnsi="Arial" w:cs="Arial"/>
                <w:sz w:val="24"/>
                <w:szCs w:val="24"/>
                <w:lang w:eastAsia="de-DE"/>
              </w:rPr>
              <w:t xml:space="preserve"> korupcyjne, przestępstwa na rynku finansowym (w tym przestępstwa giełdowe, ubezpieczeniowe, prowadzenie działalności bez licencji), przestępstwa skarbowe, nielegalny obrót środkami odurzającymi i substancjami psychotropowymi, handel ludźmi i przemyt imigrantów, nielegalny hazard, przestępstwa związane z naruszeniem praw autorskich i praw własności przemysłowej, a więc nie tylko przestępstwa skierowane </w:t>
            </w:r>
            <w:proofErr w:type="spellStart"/>
            <w:r w:rsidRPr="00200F48">
              <w:rPr>
                <w:rFonts w:ascii="Arial" w:hAnsi="Arial" w:cs="Arial"/>
                <w:sz w:val="24"/>
                <w:szCs w:val="24"/>
                <w:lang w:eastAsia="de-DE"/>
              </w:rPr>
              <w:t>sticte</w:t>
            </w:r>
            <w:proofErr w:type="spellEnd"/>
            <w:r w:rsidRPr="00200F48">
              <w:rPr>
                <w:rFonts w:ascii="Arial" w:hAnsi="Arial" w:cs="Arial"/>
                <w:sz w:val="24"/>
                <w:szCs w:val="24"/>
                <w:lang w:eastAsia="de-DE"/>
              </w:rPr>
              <w:t xml:space="preserve"> przeciwko mieniu oraz przeciwko obrotowi gospodarczemu. Czyny </w:t>
            </w:r>
            <w:proofErr w:type="gramStart"/>
            <w:r w:rsidRPr="00200F48">
              <w:rPr>
                <w:rFonts w:ascii="Arial" w:hAnsi="Arial" w:cs="Arial"/>
                <w:sz w:val="24"/>
                <w:szCs w:val="24"/>
                <w:lang w:eastAsia="de-DE"/>
              </w:rPr>
              <w:t>te  niejednokrotnie</w:t>
            </w:r>
            <w:proofErr w:type="gramEnd"/>
            <w:r w:rsidRPr="00200F48">
              <w:rPr>
                <w:rFonts w:ascii="Arial" w:hAnsi="Arial" w:cs="Arial"/>
                <w:sz w:val="24"/>
                <w:szCs w:val="24"/>
                <w:lang w:eastAsia="de-DE"/>
              </w:rPr>
              <w:t xml:space="preserve"> obejmują też szeroki katalog działań związanych z przenoszeniem posiadania lub własności wartości majątkowych pochodzących z korzyści związanych z popełnieniem czynu zabronionego. </w:t>
            </w:r>
          </w:p>
          <w:p w14:paraId="34AEB852" w14:textId="77777777" w:rsidR="00200F48" w:rsidRPr="00200F48" w:rsidRDefault="00200F48" w:rsidP="00200F48">
            <w:pPr>
              <w:autoSpaceDE w:val="0"/>
              <w:autoSpaceDN w:val="0"/>
              <w:adjustRightInd w:val="0"/>
              <w:spacing w:before="120" w:after="120" w:line="360" w:lineRule="auto"/>
              <w:rPr>
                <w:rFonts w:ascii="Arial" w:hAnsi="Arial" w:cs="Arial"/>
                <w:sz w:val="24"/>
                <w:szCs w:val="24"/>
                <w:lang w:eastAsia="de-DE"/>
              </w:rPr>
            </w:pPr>
            <w:proofErr w:type="spellStart"/>
            <w:r w:rsidRPr="00200F48">
              <w:rPr>
                <w:rFonts w:ascii="Arial" w:hAnsi="Arial" w:cs="Arial"/>
                <w:sz w:val="24"/>
                <w:szCs w:val="24"/>
                <w:lang w:val="de-DE" w:eastAsia="de-DE"/>
              </w:rPr>
              <w:lastRenderedPageBreak/>
              <w:t>Eksterytorialny</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charakter</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owych</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zachowań</w:t>
            </w:r>
            <w:proofErr w:type="spellEnd"/>
            <w:r w:rsidRPr="00200F48">
              <w:rPr>
                <w:rFonts w:ascii="Arial" w:hAnsi="Arial" w:cs="Arial"/>
                <w:sz w:val="24"/>
                <w:szCs w:val="24"/>
                <w:lang w:val="de-DE" w:eastAsia="de-DE"/>
              </w:rPr>
              <w:t xml:space="preserve"> w </w:t>
            </w:r>
            <w:proofErr w:type="spellStart"/>
            <w:r w:rsidRPr="00200F48">
              <w:rPr>
                <w:rFonts w:ascii="Arial" w:hAnsi="Arial" w:cs="Arial"/>
                <w:sz w:val="24"/>
                <w:szCs w:val="24"/>
                <w:lang w:val="de-DE" w:eastAsia="de-DE"/>
              </w:rPr>
              <w:t>znacznej</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mierze</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umożliwia</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lub</w:t>
            </w:r>
            <w:proofErr w:type="spellEnd"/>
            <w:r w:rsidRPr="00200F48">
              <w:rPr>
                <w:rFonts w:ascii="Arial" w:hAnsi="Arial" w:cs="Arial"/>
                <w:sz w:val="24"/>
                <w:szCs w:val="24"/>
                <w:lang w:val="de-DE" w:eastAsia="de-DE"/>
              </w:rPr>
              <w:t xml:space="preserve"> w </w:t>
            </w:r>
            <w:proofErr w:type="spellStart"/>
            <w:r w:rsidRPr="00200F48">
              <w:rPr>
                <w:rFonts w:ascii="Arial" w:hAnsi="Arial" w:cs="Arial"/>
                <w:sz w:val="24"/>
                <w:szCs w:val="24"/>
                <w:lang w:val="de-DE" w:eastAsia="de-DE"/>
              </w:rPr>
              <w:t>znacznym</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stopniu</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ułatwia</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ukrywanie</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mienia</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pochodzącego</w:t>
            </w:r>
            <w:proofErr w:type="spellEnd"/>
            <w:r w:rsidRPr="00200F48">
              <w:rPr>
                <w:rFonts w:ascii="Arial" w:hAnsi="Arial" w:cs="Arial"/>
                <w:sz w:val="24"/>
                <w:szCs w:val="24"/>
                <w:lang w:val="de-DE" w:eastAsia="de-DE"/>
              </w:rPr>
              <w:t xml:space="preserve"> z </w:t>
            </w:r>
            <w:proofErr w:type="spellStart"/>
            <w:r w:rsidRPr="00200F48">
              <w:rPr>
                <w:rFonts w:ascii="Arial" w:hAnsi="Arial" w:cs="Arial"/>
                <w:sz w:val="24"/>
                <w:szCs w:val="24"/>
                <w:lang w:val="de-DE" w:eastAsia="de-DE"/>
              </w:rPr>
              <w:t>popełnianych</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przestępstw</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Jedną</w:t>
            </w:r>
            <w:proofErr w:type="spellEnd"/>
            <w:r w:rsidRPr="00200F48">
              <w:rPr>
                <w:rFonts w:ascii="Arial" w:hAnsi="Arial" w:cs="Arial"/>
                <w:sz w:val="24"/>
                <w:szCs w:val="24"/>
                <w:lang w:val="de-DE" w:eastAsia="de-DE"/>
              </w:rPr>
              <w:t xml:space="preserve"> z </w:t>
            </w:r>
            <w:proofErr w:type="spellStart"/>
            <w:r w:rsidRPr="00200F48">
              <w:rPr>
                <w:rFonts w:ascii="Arial" w:hAnsi="Arial" w:cs="Arial"/>
                <w:sz w:val="24"/>
                <w:szCs w:val="24"/>
                <w:lang w:val="de-DE" w:eastAsia="de-DE"/>
              </w:rPr>
              <w:t>metod</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lokowania</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pozyskiwanych</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pozaprawnie</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środków</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stają</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się</w:t>
            </w:r>
            <w:proofErr w:type="spellEnd"/>
            <w:r w:rsidRPr="00200F48">
              <w:rPr>
                <w:rFonts w:ascii="Arial" w:hAnsi="Arial" w:cs="Arial"/>
                <w:sz w:val="24"/>
                <w:szCs w:val="24"/>
                <w:lang w:val="de-DE" w:eastAsia="de-DE"/>
              </w:rPr>
              <w:t xml:space="preserve"> </w:t>
            </w:r>
            <w:proofErr w:type="spellStart"/>
            <w:r w:rsidRPr="00200F48">
              <w:rPr>
                <w:rFonts w:ascii="Arial" w:hAnsi="Arial" w:cs="Arial"/>
                <w:sz w:val="24"/>
                <w:szCs w:val="24"/>
                <w:lang w:val="de-DE" w:eastAsia="de-DE"/>
              </w:rPr>
              <w:t>kryptowaluty</w:t>
            </w:r>
            <w:proofErr w:type="spellEnd"/>
            <w:r w:rsidRPr="00200F48">
              <w:rPr>
                <w:rFonts w:ascii="Arial" w:hAnsi="Arial" w:cs="Arial"/>
                <w:sz w:val="24"/>
                <w:szCs w:val="24"/>
                <w:lang w:val="de-DE" w:eastAsia="de-DE"/>
              </w:rPr>
              <w:t xml:space="preserve">. </w:t>
            </w:r>
            <w:r w:rsidRPr="00200F48">
              <w:rPr>
                <w:rFonts w:ascii="Arial" w:hAnsi="Arial" w:cs="Arial"/>
                <w:sz w:val="24"/>
                <w:szCs w:val="24"/>
                <w:lang w:eastAsia="de-DE"/>
              </w:rPr>
              <w:t xml:space="preserve">Zgodnie z informacjami pochodzącymi z serwisu </w:t>
            </w:r>
            <w:r w:rsidRPr="00200F48">
              <w:rPr>
                <w:rFonts w:ascii="Arial" w:hAnsi="Arial" w:cs="Arial"/>
                <w:i/>
                <w:iCs/>
                <w:sz w:val="24"/>
                <w:szCs w:val="24"/>
                <w:lang w:eastAsia="de-DE"/>
              </w:rPr>
              <w:t>coinmarketcap.com</w:t>
            </w:r>
            <w:r w:rsidRPr="00200F48">
              <w:rPr>
                <w:rFonts w:ascii="Arial" w:hAnsi="Arial" w:cs="Arial"/>
                <w:sz w:val="24"/>
                <w:szCs w:val="24"/>
                <w:lang w:eastAsia="de-DE"/>
              </w:rPr>
              <w:t xml:space="preserve">, publikującego dane statystyczne, na 23 kwietnia 2019 roku były dostępne 2 132 </w:t>
            </w:r>
            <w:proofErr w:type="spellStart"/>
            <w:r w:rsidRPr="00200F48">
              <w:rPr>
                <w:rFonts w:ascii="Arial" w:hAnsi="Arial" w:cs="Arial"/>
                <w:sz w:val="24"/>
                <w:szCs w:val="24"/>
                <w:lang w:eastAsia="de-DE"/>
              </w:rPr>
              <w:t>kryptowaluty</w:t>
            </w:r>
            <w:proofErr w:type="spellEnd"/>
            <w:r w:rsidRPr="00200F48">
              <w:rPr>
                <w:rFonts w:ascii="Arial" w:hAnsi="Arial" w:cs="Arial"/>
                <w:sz w:val="24"/>
                <w:szCs w:val="24"/>
                <w:lang w:eastAsia="de-DE"/>
              </w:rPr>
              <w:t xml:space="preserve"> (zarówno </w:t>
            </w:r>
            <w:proofErr w:type="spellStart"/>
            <w:r w:rsidRPr="00200F48">
              <w:rPr>
                <w:rFonts w:ascii="Arial" w:hAnsi="Arial" w:cs="Arial"/>
                <w:i/>
                <w:iCs/>
                <w:sz w:val="24"/>
                <w:szCs w:val="24"/>
                <w:lang w:eastAsia="de-DE"/>
              </w:rPr>
              <w:t>coin</w:t>
            </w:r>
            <w:proofErr w:type="spellEnd"/>
            <w:r w:rsidRPr="00200F48">
              <w:rPr>
                <w:rFonts w:ascii="Arial" w:hAnsi="Arial" w:cs="Arial"/>
                <w:sz w:val="24"/>
                <w:szCs w:val="24"/>
                <w:lang w:eastAsia="de-DE"/>
              </w:rPr>
              <w:t xml:space="preserve">-y, jak i </w:t>
            </w:r>
            <w:proofErr w:type="spellStart"/>
            <w:r w:rsidRPr="00200F48">
              <w:rPr>
                <w:rFonts w:ascii="Arial" w:hAnsi="Arial" w:cs="Arial"/>
                <w:i/>
                <w:iCs/>
                <w:sz w:val="24"/>
                <w:szCs w:val="24"/>
                <w:lang w:eastAsia="de-DE"/>
              </w:rPr>
              <w:t>tokeny</w:t>
            </w:r>
            <w:proofErr w:type="spellEnd"/>
            <w:r w:rsidRPr="00200F48">
              <w:rPr>
                <w:rFonts w:ascii="Arial" w:hAnsi="Arial" w:cs="Arial"/>
                <w:sz w:val="24"/>
                <w:szCs w:val="24"/>
                <w:lang w:eastAsia="de-DE"/>
              </w:rPr>
              <w:t xml:space="preserve">), z czego większość stanowiły </w:t>
            </w:r>
            <w:proofErr w:type="spellStart"/>
            <w:r w:rsidRPr="00200F48">
              <w:rPr>
                <w:rFonts w:ascii="Arial" w:hAnsi="Arial" w:cs="Arial"/>
                <w:i/>
                <w:iCs/>
                <w:sz w:val="24"/>
                <w:szCs w:val="24"/>
                <w:lang w:eastAsia="de-DE"/>
              </w:rPr>
              <w:t>tokeny</w:t>
            </w:r>
            <w:proofErr w:type="spellEnd"/>
            <w:r w:rsidRPr="00200F48">
              <w:rPr>
                <w:rFonts w:ascii="Arial" w:hAnsi="Arial" w:cs="Arial"/>
                <w:i/>
                <w:iCs/>
                <w:sz w:val="24"/>
                <w:szCs w:val="24"/>
                <w:lang w:eastAsia="de-DE"/>
              </w:rPr>
              <w:t xml:space="preserve"> </w:t>
            </w:r>
            <w:r w:rsidRPr="00200F48">
              <w:rPr>
                <w:rFonts w:ascii="Arial" w:hAnsi="Arial" w:cs="Arial"/>
                <w:sz w:val="24"/>
                <w:szCs w:val="24"/>
                <w:lang w:eastAsia="de-DE"/>
              </w:rPr>
              <w:t>(ok</w:t>
            </w:r>
            <w:proofErr w:type="gramStart"/>
            <w:r w:rsidRPr="00200F48">
              <w:rPr>
                <w:rFonts w:ascii="Arial" w:hAnsi="Arial" w:cs="Arial"/>
                <w:sz w:val="24"/>
                <w:szCs w:val="24"/>
                <w:lang w:eastAsia="de-DE"/>
              </w:rPr>
              <w:t>. 60,3%). Ze</w:t>
            </w:r>
            <w:proofErr w:type="gramEnd"/>
            <w:r w:rsidRPr="00200F48">
              <w:rPr>
                <w:rFonts w:ascii="Arial" w:hAnsi="Arial" w:cs="Arial"/>
                <w:sz w:val="24"/>
                <w:szCs w:val="24"/>
                <w:lang w:eastAsia="de-DE"/>
              </w:rPr>
              <w:t xml:space="preserve"> względu na odmienną formę kodów źródłowych oraz zapisaną funkcjonalność poszczególnych </w:t>
            </w:r>
            <w:proofErr w:type="spellStart"/>
            <w:r w:rsidRPr="00200F48">
              <w:rPr>
                <w:rFonts w:ascii="Arial" w:hAnsi="Arial" w:cs="Arial"/>
                <w:sz w:val="24"/>
                <w:szCs w:val="24"/>
                <w:lang w:eastAsia="de-DE"/>
              </w:rPr>
              <w:t>kryptowalut</w:t>
            </w:r>
            <w:proofErr w:type="spellEnd"/>
            <w:r w:rsidRPr="00200F48">
              <w:rPr>
                <w:rFonts w:ascii="Arial" w:hAnsi="Arial" w:cs="Arial"/>
                <w:sz w:val="24"/>
                <w:szCs w:val="24"/>
                <w:lang w:eastAsia="de-DE"/>
              </w:rPr>
              <w:t xml:space="preserve">, każda z nich może generować odmienne ryzyko dla bezpieczeństwa obrotu finansowego. </w:t>
            </w:r>
            <w:proofErr w:type="gramStart"/>
            <w:r w:rsidRPr="00200F48">
              <w:rPr>
                <w:rFonts w:ascii="Arial" w:hAnsi="Arial" w:cs="Arial"/>
                <w:sz w:val="24"/>
                <w:szCs w:val="24"/>
                <w:lang w:eastAsia="de-DE"/>
              </w:rPr>
              <w:t>Zauważyć bowiem</w:t>
            </w:r>
            <w:proofErr w:type="gramEnd"/>
            <w:r w:rsidRPr="00200F48">
              <w:rPr>
                <w:rFonts w:ascii="Arial" w:hAnsi="Arial" w:cs="Arial"/>
                <w:sz w:val="24"/>
                <w:szCs w:val="24"/>
                <w:lang w:eastAsia="de-DE"/>
              </w:rPr>
              <w:t xml:space="preserve"> należy, że </w:t>
            </w:r>
            <w:proofErr w:type="spellStart"/>
            <w:r w:rsidRPr="00200F48">
              <w:rPr>
                <w:rFonts w:ascii="Arial" w:hAnsi="Arial" w:cs="Arial"/>
                <w:sz w:val="24"/>
                <w:szCs w:val="24"/>
                <w:lang w:eastAsia="de-DE"/>
              </w:rPr>
              <w:t>kryptowaluty</w:t>
            </w:r>
            <w:proofErr w:type="spellEnd"/>
            <w:r w:rsidRPr="00200F48">
              <w:rPr>
                <w:rFonts w:ascii="Arial" w:hAnsi="Arial" w:cs="Arial"/>
                <w:sz w:val="24"/>
                <w:szCs w:val="24"/>
                <w:lang w:eastAsia="de-DE"/>
              </w:rPr>
              <w:t xml:space="preserve"> gwarantują w większości przypadków pełną anonimowość. W kodzie transakcji przekazują one tylko wartość kwotową transferu, szyfrując jednocześnie pozostałe informacje o transakcji, co pozwala zapewnić pełną anonimowość zleceniodawcy i odbiorcy. </w:t>
            </w:r>
          </w:p>
          <w:p w14:paraId="2DE2048C"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Swoją aktualność zachowuje również ukrywanie mienia pochodzącego z przestępstw w tzw. „rajach podatkowych”. </w:t>
            </w:r>
          </w:p>
          <w:p w14:paraId="52D53D45"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 Odpowiedzią na ów stały wzrost liczby przestępstw popełnianych w ramach zorganizowanych grup, a nadto z elementem międzynarodowym są zmiany aktów prawnych zmierzających do przeciwdziałania owemu procederowi przestępczemu. </w:t>
            </w:r>
          </w:p>
          <w:p w14:paraId="599C706C"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W latach 2017 - 2018 do krajowego porządku </w:t>
            </w:r>
            <w:proofErr w:type="gramStart"/>
            <w:r w:rsidRPr="00200F48">
              <w:rPr>
                <w:rFonts w:ascii="Arial" w:hAnsi="Arial" w:cs="Arial"/>
                <w:sz w:val="24"/>
                <w:szCs w:val="24"/>
              </w:rPr>
              <w:t>prawnego  wprowadzono</w:t>
            </w:r>
            <w:proofErr w:type="gramEnd"/>
            <w:r w:rsidRPr="00200F48">
              <w:rPr>
                <w:rFonts w:ascii="Arial" w:hAnsi="Arial" w:cs="Arial"/>
                <w:sz w:val="24"/>
                <w:szCs w:val="24"/>
              </w:rPr>
              <w:t xml:space="preserve"> między innymi:</w:t>
            </w:r>
          </w:p>
          <w:p w14:paraId="6191B40D" w14:textId="77777777" w:rsidR="00200F48" w:rsidRPr="00200F48" w:rsidRDefault="00200F48" w:rsidP="00200F48">
            <w:pPr>
              <w:numPr>
                <w:ilvl w:val="0"/>
                <w:numId w:val="21"/>
              </w:numPr>
              <w:spacing w:before="120" w:after="120" w:line="360" w:lineRule="auto"/>
              <w:ind w:right="142"/>
              <w:rPr>
                <w:rFonts w:ascii="Arial" w:hAnsi="Arial" w:cs="Arial"/>
                <w:sz w:val="24"/>
                <w:szCs w:val="24"/>
              </w:rPr>
            </w:pPr>
            <w:r w:rsidRPr="00200F48">
              <w:rPr>
                <w:rFonts w:ascii="Arial" w:hAnsi="Arial" w:cs="Arial"/>
                <w:sz w:val="24"/>
                <w:szCs w:val="24"/>
              </w:rPr>
              <w:t xml:space="preserve">ustawę z dnia 24 listopada 2017 roku o zmianie niektórych ustaw w celu przeciwdziałania wykorzystaniu sektora finansowego, która wprowadziła do ustawy z dnia 29 sierpnia 1997 roku Ordynacja podatkowa art. 119 </w:t>
            </w:r>
            <w:proofErr w:type="spellStart"/>
            <w:r w:rsidRPr="00200F48">
              <w:rPr>
                <w:rFonts w:ascii="Arial" w:hAnsi="Arial" w:cs="Arial"/>
                <w:sz w:val="24"/>
                <w:szCs w:val="24"/>
              </w:rPr>
              <w:t>zv</w:t>
            </w:r>
            <w:proofErr w:type="spellEnd"/>
            <w:r w:rsidRPr="00200F48">
              <w:rPr>
                <w:rFonts w:ascii="Arial" w:hAnsi="Arial" w:cs="Arial"/>
                <w:sz w:val="24"/>
                <w:szCs w:val="24"/>
              </w:rPr>
              <w:t xml:space="preserve"> przyznający </w:t>
            </w:r>
            <w:proofErr w:type="gramStart"/>
            <w:r w:rsidRPr="00200F48">
              <w:rPr>
                <w:rFonts w:ascii="Arial" w:hAnsi="Arial" w:cs="Arial"/>
                <w:sz w:val="24"/>
                <w:szCs w:val="24"/>
              </w:rPr>
              <w:t>Szefowi  KAS</w:t>
            </w:r>
            <w:proofErr w:type="gramEnd"/>
            <w:r w:rsidRPr="00200F48">
              <w:rPr>
                <w:rFonts w:ascii="Arial" w:hAnsi="Arial" w:cs="Arial"/>
                <w:sz w:val="24"/>
                <w:szCs w:val="24"/>
              </w:rPr>
              <w:t xml:space="preserve"> kompetencje do wydawania postanowień o blokadzie rachunku podmiotu kwalifikowanego – na okres nie dłuższy niż </w:t>
            </w:r>
            <w:r w:rsidRPr="00200F48">
              <w:rPr>
                <w:rFonts w:ascii="Arial" w:hAnsi="Arial" w:cs="Arial"/>
                <w:bCs/>
                <w:sz w:val="24"/>
                <w:szCs w:val="24"/>
              </w:rPr>
              <w:t>72 godz.</w:t>
            </w:r>
            <w:r w:rsidRPr="00200F48">
              <w:rPr>
                <w:rFonts w:ascii="Arial" w:hAnsi="Arial" w:cs="Arial"/>
                <w:sz w:val="24"/>
                <w:szCs w:val="24"/>
              </w:rPr>
              <w:t xml:space="preserve"> – jeżeli posiadane informacje, w szczególności wyniki analizy ryzyka, będą wskazywać, że podmiot kwalifikowany może wykorzystywać działalność banków lub skok do celów mających związek z wyłudzeniami skarbowymi lub do czynności zmierzających do wyłudzenia skarbowego, a blokada rachunku podmiotu kwalifikowanego jest konieczna, aby temu przeciwdziałać,</w:t>
            </w:r>
          </w:p>
          <w:p w14:paraId="2DB5483E" w14:textId="77777777" w:rsidR="00200F48" w:rsidRPr="00200F48" w:rsidRDefault="00200F48" w:rsidP="00200F48">
            <w:pPr>
              <w:numPr>
                <w:ilvl w:val="0"/>
                <w:numId w:val="21"/>
              </w:numPr>
              <w:spacing w:before="120" w:after="120" w:line="360" w:lineRule="auto"/>
              <w:ind w:right="142"/>
              <w:rPr>
                <w:rFonts w:ascii="Arial" w:hAnsi="Arial" w:cs="Arial"/>
                <w:sz w:val="24"/>
                <w:szCs w:val="24"/>
              </w:rPr>
            </w:pPr>
            <w:r w:rsidRPr="00200F48">
              <w:rPr>
                <w:rFonts w:ascii="Arial" w:hAnsi="Arial" w:cs="Arial"/>
                <w:sz w:val="24"/>
                <w:szCs w:val="24"/>
              </w:rPr>
              <w:t xml:space="preserve"> </w:t>
            </w:r>
            <w:proofErr w:type="gramStart"/>
            <w:r w:rsidRPr="00200F48">
              <w:rPr>
                <w:rFonts w:ascii="Arial" w:hAnsi="Arial" w:cs="Arial"/>
                <w:sz w:val="24"/>
                <w:szCs w:val="24"/>
              </w:rPr>
              <w:t>ustawę</w:t>
            </w:r>
            <w:proofErr w:type="gramEnd"/>
            <w:r w:rsidRPr="00200F48">
              <w:rPr>
                <w:rFonts w:ascii="Arial" w:hAnsi="Arial" w:cs="Arial"/>
                <w:sz w:val="24"/>
                <w:szCs w:val="24"/>
              </w:rPr>
              <w:t xml:space="preserve"> z dnia 1 marca 2018 roku o przeciwdziałaniu praniu pieniędzy oraz finansowania terroryzmu, której głównym celem była implementacja przepisów </w:t>
            </w:r>
            <w:r w:rsidRPr="00200F48">
              <w:rPr>
                <w:rFonts w:ascii="Arial" w:hAnsi="Arial" w:cs="Arial"/>
                <w:sz w:val="24"/>
                <w:szCs w:val="24"/>
              </w:rPr>
              <w:lastRenderedPageBreak/>
              <w:t xml:space="preserve">dyrektywy 2015/849 Rady (UE), dostosowanie zmienionych w 2012 roku rekomendacji FATF, a nadto wdrożenie zaleceń </w:t>
            </w:r>
            <w:proofErr w:type="spellStart"/>
            <w:r w:rsidRPr="00200F48">
              <w:rPr>
                <w:rFonts w:ascii="Arial" w:hAnsi="Arial" w:cs="Arial"/>
                <w:sz w:val="24"/>
                <w:szCs w:val="24"/>
              </w:rPr>
              <w:t>ewaluatorów</w:t>
            </w:r>
            <w:proofErr w:type="spellEnd"/>
            <w:r w:rsidRPr="00200F48">
              <w:rPr>
                <w:rFonts w:ascii="Arial" w:hAnsi="Arial" w:cs="Arial"/>
                <w:sz w:val="24"/>
                <w:szCs w:val="24"/>
              </w:rPr>
              <w:t xml:space="preserve"> z Komitetu Ekspertów ds. Oceny Środków Zapobiegania Praniu Pieniędzy i Finasowaniu Terroryzmu MONEYVAL,</w:t>
            </w:r>
          </w:p>
          <w:p w14:paraId="1EA12D1F"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3) ustawę z dnia 10 stycznia 2018 roku o zmianie ustawy Kodeks postępowania karnego oraz niektórych innych </w:t>
            </w:r>
            <w:proofErr w:type="gramStart"/>
            <w:r w:rsidRPr="00200F48">
              <w:rPr>
                <w:rFonts w:ascii="Arial" w:hAnsi="Arial" w:cs="Arial"/>
                <w:sz w:val="24"/>
                <w:szCs w:val="24"/>
              </w:rPr>
              <w:t>ustaw  wprowadzającą</w:t>
            </w:r>
            <w:proofErr w:type="gramEnd"/>
            <w:r w:rsidRPr="00200F48">
              <w:rPr>
                <w:rFonts w:ascii="Arial" w:hAnsi="Arial" w:cs="Arial"/>
                <w:sz w:val="24"/>
                <w:szCs w:val="24"/>
              </w:rPr>
              <w:t xml:space="preserve"> dwa nowe rozdziały to jest 62c i 62d, będącą wynikiem wdrożenia dyrektywy Parlamentu Europejskiego i Rady nr 2014/41/UE w sprawie europejskiego nakazu dochodzeniowego w sprawach karnych, a stanowiące daleko idące ułatwienia w podejmowaniu czynność dowodowych za granicą oraz przekazywania dowodów już istniejących,</w:t>
            </w:r>
          </w:p>
          <w:p w14:paraId="284CB363"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4) ustawę z dnia 5 lipca 2018 roku o zmianie Ordynacji podatkowej zmieniającej treść jej art. 119 </w:t>
            </w:r>
            <w:proofErr w:type="spellStart"/>
            <w:r w:rsidRPr="00200F48">
              <w:rPr>
                <w:rFonts w:ascii="Arial" w:hAnsi="Arial" w:cs="Arial"/>
                <w:sz w:val="24"/>
                <w:szCs w:val="24"/>
              </w:rPr>
              <w:t>zv</w:t>
            </w:r>
            <w:proofErr w:type="spellEnd"/>
            <w:r w:rsidRPr="00200F48">
              <w:rPr>
                <w:rFonts w:ascii="Arial" w:hAnsi="Arial" w:cs="Arial"/>
                <w:sz w:val="24"/>
                <w:szCs w:val="24"/>
              </w:rPr>
              <w:t xml:space="preserve">, </w:t>
            </w:r>
          </w:p>
          <w:p w14:paraId="218AAE7D"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5) rozporządzenie Ministra Finansów z dnia 11 lipca 2018 roku w sprawie zaniechania poboru podatku od czynności cywilnoprawnych od umowy sprzedaży lub zmiany waluty wirtualnej (Dz.U. </w:t>
            </w:r>
            <w:proofErr w:type="gramStart"/>
            <w:r w:rsidRPr="00200F48">
              <w:rPr>
                <w:rFonts w:ascii="Arial" w:hAnsi="Arial" w:cs="Arial"/>
                <w:sz w:val="24"/>
                <w:szCs w:val="24"/>
              </w:rPr>
              <w:t>z</w:t>
            </w:r>
            <w:proofErr w:type="gramEnd"/>
            <w:r w:rsidRPr="00200F48">
              <w:rPr>
                <w:rFonts w:ascii="Arial" w:hAnsi="Arial" w:cs="Arial"/>
                <w:sz w:val="24"/>
                <w:szCs w:val="24"/>
              </w:rPr>
              <w:t xml:space="preserve"> dnia 12 lipca 2018 roku, poz.1348), zawierająca jedynie  szczątkową regulację dotyczącą </w:t>
            </w:r>
            <w:proofErr w:type="spellStart"/>
            <w:r w:rsidRPr="00200F48">
              <w:rPr>
                <w:rFonts w:ascii="Arial" w:hAnsi="Arial" w:cs="Arial"/>
                <w:sz w:val="24"/>
                <w:szCs w:val="24"/>
              </w:rPr>
              <w:t>kryptowaluty</w:t>
            </w:r>
            <w:proofErr w:type="spellEnd"/>
            <w:r w:rsidRPr="00200F48">
              <w:rPr>
                <w:rFonts w:ascii="Arial" w:hAnsi="Arial" w:cs="Arial"/>
                <w:sz w:val="24"/>
                <w:szCs w:val="24"/>
              </w:rPr>
              <w:t>.</w:t>
            </w:r>
          </w:p>
          <w:p w14:paraId="6054BCDC"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Realizacja niniejszego projektu stanowić </w:t>
            </w:r>
            <w:proofErr w:type="gramStart"/>
            <w:r w:rsidRPr="00200F48">
              <w:rPr>
                <w:rFonts w:ascii="Arial" w:hAnsi="Arial" w:cs="Arial"/>
                <w:sz w:val="24"/>
                <w:szCs w:val="24"/>
              </w:rPr>
              <w:t>będzie zatem</w:t>
            </w:r>
            <w:proofErr w:type="gramEnd"/>
            <w:r w:rsidRPr="00200F48">
              <w:rPr>
                <w:rFonts w:ascii="Arial" w:hAnsi="Arial" w:cs="Arial"/>
                <w:sz w:val="24"/>
                <w:szCs w:val="24"/>
              </w:rPr>
              <w:t xml:space="preserve"> odpowiedź na widoczne tendencje i mechanizmy przestępczych działań sprawców. Będzie </w:t>
            </w:r>
            <w:proofErr w:type="gramStart"/>
            <w:r w:rsidRPr="00200F48">
              <w:rPr>
                <w:rFonts w:ascii="Arial" w:hAnsi="Arial" w:cs="Arial"/>
                <w:sz w:val="24"/>
                <w:szCs w:val="24"/>
              </w:rPr>
              <w:t>korespondowała  z</w:t>
            </w:r>
            <w:proofErr w:type="gramEnd"/>
            <w:r w:rsidRPr="00200F48">
              <w:rPr>
                <w:rFonts w:ascii="Arial" w:hAnsi="Arial" w:cs="Arial"/>
                <w:sz w:val="24"/>
                <w:szCs w:val="24"/>
              </w:rPr>
              <w:t xml:space="preserve"> postępującym na przestrzeni ostatnich lat zmianami ustawodawstwa w tym zakresie, co obliguje Krajową Szkołę do podjęcia kompleksowych działań w celu aktualizacji wiedzy kadr wymiaru sprawiedliwości i organów ścigania.</w:t>
            </w:r>
          </w:p>
          <w:p w14:paraId="2DDE40C1" w14:textId="77777777" w:rsidR="00200F48" w:rsidRPr="00200F48" w:rsidRDefault="00200F48" w:rsidP="00200F48">
            <w:pPr>
              <w:spacing w:before="120" w:after="120" w:line="360" w:lineRule="auto"/>
              <w:ind w:left="176" w:right="141"/>
              <w:rPr>
                <w:rFonts w:ascii="Arial" w:hAnsi="Arial" w:cs="Arial"/>
                <w:sz w:val="24"/>
                <w:szCs w:val="24"/>
              </w:rPr>
            </w:pPr>
            <w:r w:rsidRPr="00200F48">
              <w:rPr>
                <w:rFonts w:ascii="Arial" w:hAnsi="Arial" w:cs="Arial"/>
                <w:sz w:val="24"/>
                <w:szCs w:val="24"/>
              </w:rPr>
              <w:t>Zgodnie z ustawą z dnia 23 stycznia 2009 r. o Krajowej Szkole Sądownictwa i Prokuratury jednym z zadań Krajowej Szkoły Sądownictwa i Prokuratury jest szkolenie i doskonalenie zawodowe szeroko rozumianych kadr wymiaru sprawiedliwości w celu uzupełnienia ich specjalistycznej wiedzy i umiejętności zawodowych oraz kwalifikacji zawodowych.</w:t>
            </w:r>
          </w:p>
          <w:p w14:paraId="4266F71E" w14:textId="77777777" w:rsidR="00200F48" w:rsidRPr="00200F48" w:rsidRDefault="00200F48" w:rsidP="00200F48">
            <w:pPr>
              <w:spacing w:before="120" w:after="120" w:line="360" w:lineRule="auto"/>
              <w:ind w:left="176" w:right="141"/>
              <w:rPr>
                <w:rFonts w:ascii="Arial" w:hAnsi="Arial" w:cs="Arial"/>
                <w:sz w:val="24"/>
                <w:szCs w:val="24"/>
              </w:rPr>
            </w:pPr>
            <w:r w:rsidRPr="00200F48">
              <w:rPr>
                <w:rFonts w:ascii="Arial" w:hAnsi="Arial" w:cs="Arial"/>
                <w:sz w:val="24"/>
                <w:szCs w:val="24"/>
              </w:rPr>
              <w:t xml:space="preserve">Krajowa Szkoła posiada wieloletnie doświadczenie w planowaniu oraz realizacji szkoleń i jako jedyna w Polsce centralna instytucja jest uprawniona do systemowego doskonalenia zawodowego tej wymagającej grupy docelowej. Działalność szkoleniowa Krajowej Szkoły ukierunkowana jest między innymi na diagnozowanie potrzeb szkoleniowych w celu opracowania dedykowanych programów szkoleń, uwzględniających specyfikę pracy poszczególnych zawodów </w:t>
            </w:r>
            <w:r w:rsidRPr="00200F48">
              <w:rPr>
                <w:rFonts w:ascii="Arial" w:hAnsi="Arial" w:cs="Arial"/>
                <w:sz w:val="24"/>
                <w:szCs w:val="24"/>
              </w:rPr>
              <w:lastRenderedPageBreak/>
              <w:t>wchodzących w skład kadr wymiaru sprawiedliwości.</w:t>
            </w:r>
          </w:p>
          <w:p w14:paraId="03230CEC" w14:textId="77777777" w:rsidR="00200F48" w:rsidRPr="00200F48" w:rsidRDefault="00200F48" w:rsidP="00200F48">
            <w:pPr>
              <w:spacing w:before="120" w:after="120" w:line="360" w:lineRule="auto"/>
              <w:ind w:left="176" w:right="141"/>
              <w:rPr>
                <w:rFonts w:ascii="Arial" w:hAnsi="Arial" w:cs="Arial"/>
                <w:sz w:val="24"/>
                <w:szCs w:val="24"/>
              </w:rPr>
            </w:pPr>
            <w:proofErr w:type="spellStart"/>
            <w:r w:rsidRPr="00200F48">
              <w:rPr>
                <w:rFonts w:ascii="Arial" w:hAnsi="Arial" w:cs="Arial"/>
                <w:sz w:val="24"/>
                <w:szCs w:val="24"/>
              </w:rPr>
              <w:t>KSSiP</w:t>
            </w:r>
            <w:proofErr w:type="spellEnd"/>
            <w:r w:rsidRPr="00200F48">
              <w:rPr>
                <w:rFonts w:ascii="Arial" w:hAnsi="Arial" w:cs="Arial"/>
                <w:sz w:val="24"/>
                <w:szCs w:val="24"/>
              </w:rPr>
              <w:t xml:space="preserve"> będąc podmiotem posiadającym umocowanie prawne, wiedzę oraz bogate i wykwalifikowane zasoby ludzkie może wspomóc właściwą realizację zadań publicznych podejmowanych przez sądy i prokuratury, gwarantując tym samym </w:t>
            </w:r>
            <w:proofErr w:type="gramStart"/>
            <w:r w:rsidRPr="00200F48">
              <w:rPr>
                <w:rFonts w:ascii="Arial" w:hAnsi="Arial" w:cs="Arial"/>
                <w:sz w:val="24"/>
                <w:szCs w:val="24"/>
              </w:rPr>
              <w:t>wysoką jakość</w:t>
            </w:r>
            <w:proofErr w:type="gramEnd"/>
            <w:r w:rsidRPr="00200F48">
              <w:rPr>
                <w:rFonts w:ascii="Arial" w:hAnsi="Arial" w:cs="Arial"/>
                <w:sz w:val="24"/>
                <w:szCs w:val="24"/>
              </w:rPr>
              <w:t xml:space="preserve"> wsparcia realizowanego ze środków unijnych. Zadania </w:t>
            </w:r>
            <w:proofErr w:type="gramStart"/>
            <w:r w:rsidRPr="00200F48">
              <w:rPr>
                <w:rFonts w:ascii="Arial" w:hAnsi="Arial" w:cs="Arial"/>
                <w:sz w:val="24"/>
                <w:szCs w:val="24"/>
              </w:rPr>
              <w:t>wskazane  do</w:t>
            </w:r>
            <w:proofErr w:type="gramEnd"/>
            <w:r w:rsidRPr="00200F48">
              <w:rPr>
                <w:rFonts w:ascii="Arial" w:hAnsi="Arial" w:cs="Arial"/>
                <w:sz w:val="24"/>
                <w:szCs w:val="24"/>
              </w:rPr>
              <w:t xml:space="preserve"> realizacji w ramach planowanej interwencji są także ujęte w „Strategii modernizacji przestrzeni sprawiedliwości w Polsce na lata 2014-2020”, której kierunkiem strategicznym </w:t>
            </w:r>
            <w:proofErr w:type="spellStart"/>
            <w:r w:rsidRPr="00200F48">
              <w:rPr>
                <w:rFonts w:ascii="Arial" w:hAnsi="Arial" w:cs="Arial"/>
                <w:sz w:val="24"/>
                <w:szCs w:val="24"/>
              </w:rPr>
              <w:t>KSSiP</w:t>
            </w:r>
            <w:proofErr w:type="spellEnd"/>
            <w:r w:rsidRPr="00200F48">
              <w:rPr>
                <w:rFonts w:ascii="Arial" w:hAnsi="Arial" w:cs="Arial"/>
                <w:sz w:val="24"/>
                <w:szCs w:val="24"/>
              </w:rPr>
              <w:t xml:space="preserve"> jest zapewnienie w perspektywie długoterminowej, dostępności odpowiednich środków na zaplanowaną działalność szkoleniową poprzez pozyskiwanie środków z funduszy UE, a jej funkcjonowanie ma charakter wspierający wobec pozostałych podmiotów strategii.</w:t>
            </w:r>
          </w:p>
          <w:p w14:paraId="72B37719" w14:textId="77777777" w:rsidR="00200F48" w:rsidRPr="00200F48" w:rsidRDefault="00200F48" w:rsidP="00200F48">
            <w:pPr>
              <w:spacing w:before="120" w:after="120" w:line="360" w:lineRule="auto"/>
              <w:ind w:left="176" w:right="141"/>
              <w:rPr>
                <w:rFonts w:ascii="Arial" w:hAnsi="Arial" w:cs="Arial"/>
                <w:sz w:val="24"/>
                <w:szCs w:val="24"/>
              </w:rPr>
            </w:pPr>
            <w:r w:rsidRPr="00200F48">
              <w:rPr>
                <w:rFonts w:ascii="Arial" w:hAnsi="Arial" w:cs="Arial"/>
                <w:sz w:val="24"/>
                <w:szCs w:val="24"/>
              </w:rPr>
              <w:t xml:space="preserve">Celem Krajowej Szkoły jest stworzenie systemu kształcenia elity środowiska prawniczego, charakteryzującego się elastycznością, </w:t>
            </w:r>
            <w:proofErr w:type="gramStart"/>
            <w:r w:rsidRPr="00200F48">
              <w:rPr>
                <w:rFonts w:ascii="Arial" w:hAnsi="Arial" w:cs="Arial"/>
                <w:sz w:val="24"/>
                <w:szCs w:val="24"/>
              </w:rPr>
              <w:t>wysoką jakością</w:t>
            </w:r>
            <w:proofErr w:type="gramEnd"/>
            <w:r w:rsidRPr="00200F48">
              <w:rPr>
                <w:rFonts w:ascii="Arial" w:hAnsi="Arial" w:cs="Arial"/>
                <w:sz w:val="24"/>
                <w:szCs w:val="24"/>
              </w:rPr>
              <w:t xml:space="preserve">, skutecznym nauczaniem oraz pełnym zaangażowaniem instytucji publicznych (co wpisuje się w koncepcję </w:t>
            </w:r>
            <w:proofErr w:type="spellStart"/>
            <w:r w:rsidRPr="00200F48">
              <w:rPr>
                <w:rFonts w:ascii="Arial" w:hAnsi="Arial" w:cs="Arial"/>
                <w:sz w:val="24"/>
                <w:szCs w:val="24"/>
              </w:rPr>
              <w:t>Lifelong</w:t>
            </w:r>
            <w:proofErr w:type="spellEnd"/>
            <w:r w:rsidRPr="00200F48">
              <w:rPr>
                <w:rFonts w:ascii="Arial" w:hAnsi="Arial" w:cs="Arial"/>
                <w:sz w:val="24"/>
                <w:szCs w:val="24"/>
              </w:rPr>
              <w:t xml:space="preserve"> Learning Komisji Europejskiej).</w:t>
            </w:r>
          </w:p>
        </w:tc>
      </w:tr>
      <w:tr w:rsidR="00200F48" w:rsidRPr="00200F48" w14:paraId="03514097" w14:textId="77777777" w:rsidTr="00B81D3B">
        <w:trPr>
          <w:trHeight w:val="567"/>
        </w:trPr>
        <w:tc>
          <w:tcPr>
            <w:tcW w:w="9356" w:type="dxa"/>
            <w:gridSpan w:val="18"/>
            <w:tcBorders>
              <w:top w:val="single" w:sz="4" w:space="0" w:color="auto"/>
              <w:bottom w:val="single" w:sz="4" w:space="0" w:color="auto"/>
            </w:tcBorders>
            <w:shd w:val="clear" w:color="auto" w:fill="CCC0D9"/>
            <w:vAlign w:val="center"/>
          </w:tcPr>
          <w:p w14:paraId="41EEDAEB"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lastRenderedPageBreak/>
              <w:t>Zasadnicze założenia interwencji publicznej, której wsparcie zaplanowano w ramach projektu</w:t>
            </w:r>
          </w:p>
        </w:tc>
      </w:tr>
      <w:tr w:rsidR="00200F48" w:rsidRPr="00200F48" w14:paraId="5A1CACB4" w14:textId="77777777" w:rsidTr="00B81D3B">
        <w:trPr>
          <w:trHeight w:val="567"/>
        </w:trPr>
        <w:tc>
          <w:tcPr>
            <w:tcW w:w="9356" w:type="dxa"/>
            <w:gridSpan w:val="18"/>
            <w:tcBorders>
              <w:top w:val="single" w:sz="4" w:space="0" w:color="auto"/>
              <w:bottom w:val="single" w:sz="4" w:space="0" w:color="auto"/>
            </w:tcBorders>
            <w:shd w:val="clear" w:color="auto" w:fill="auto"/>
            <w:vAlign w:val="center"/>
          </w:tcPr>
          <w:p w14:paraId="5F27A4D0" w14:textId="77777777" w:rsidR="00200F48" w:rsidRPr="00200F48" w:rsidRDefault="00200F48" w:rsidP="00200F48">
            <w:pPr>
              <w:spacing w:before="120" w:after="120" w:line="360" w:lineRule="auto"/>
              <w:ind w:left="176" w:right="141"/>
              <w:rPr>
                <w:rFonts w:ascii="Arial" w:hAnsi="Arial" w:cs="Arial"/>
                <w:sz w:val="24"/>
                <w:szCs w:val="24"/>
              </w:rPr>
            </w:pPr>
            <w:r w:rsidRPr="00200F48">
              <w:rPr>
                <w:rFonts w:ascii="Arial" w:hAnsi="Arial" w:cs="Arial"/>
                <w:sz w:val="24"/>
                <w:szCs w:val="24"/>
              </w:rPr>
              <w:t xml:space="preserve">Zasadniczym założeniem interwencji publicznej będzie zwiększenie świadomości prawnej i społecznej w zakresie konieczności zapobiegania i zwalczania przestępczości zorganizowanej oraz podniesienie kompetencji w zakresie procedur dotyczących odzyskiwania mienia pochodzącego z przestępstw m.in. w świetle zmian wprowadzonych ustawami: z dnia 24 listopada 2017 roku o zmianie niektórych ustaw w celu przeciwdziałania wykorzystaniu sektora finansowego </w:t>
            </w:r>
            <w:proofErr w:type="gramStart"/>
            <w:r w:rsidRPr="00200F48">
              <w:rPr>
                <w:rFonts w:ascii="Arial" w:hAnsi="Arial" w:cs="Arial"/>
                <w:sz w:val="24"/>
                <w:szCs w:val="24"/>
              </w:rPr>
              <w:t>oraz  z</w:t>
            </w:r>
            <w:proofErr w:type="gramEnd"/>
            <w:r w:rsidRPr="00200F48">
              <w:rPr>
                <w:rFonts w:ascii="Arial" w:hAnsi="Arial" w:cs="Arial"/>
                <w:sz w:val="24"/>
                <w:szCs w:val="24"/>
              </w:rPr>
              <w:t xml:space="preserve"> dnia 1 marca 2018 roku o przeciwdziałaniu praniu pieniędzy oraz finansowania terroryzmu, a także zasad  współpracy organów ścigania i wymiaru sprawiedliwości z organami administracji w zakresie ścigania przestępstw przeciwko obrotowi gospodarczemu. </w:t>
            </w:r>
          </w:p>
          <w:p w14:paraId="0EEAB61B" w14:textId="77777777" w:rsidR="00200F48" w:rsidRPr="00200F48" w:rsidRDefault="00200F48" w:rsidP="00200F48">
            <w:pPr>
              <w:spacing w:before="120" w:after="120" w:line="360" w:lineRule="auto"/>
              <w:ind w:left="176" w:right="141"/>
              <w:rPr>
                <w:rFonts w:ascii="Arial" w:hAnsi="Arial" w:cs="Arial"/>
                <w:sz w:val="24"/>
                <w:szCs w:val="24"/>
              </w:rPr>
            </w:pPr>
            <w:r w:rsidRPr="00200F48">
              <w:rPr>
                <w:rFonts w:ascii="Arial" w:hAnsi="Arial" w:cs="Arial"/>
                <w:sz w:val="24"/>
                <w:szCs w:val="24"/>
              </w:rPr>
              <w:t xml:space="preserve">Realizowane działania umożliwią bowiem podniesienie poziomu wiedzy w zakresie mechanizmów światowych dotyczących standardów zwalczania </w:t>
            </w:r>
            <w:proofErr w:type="gramStart"/>
            <w:r w:rsidRPr="00200F48">
              <w:rPr>
                <w:rFonts w:ascii="Arial" w:hAnsi="Arial" w:cs="Arial"/>
                <w:sz w:val="24"/>
                <w:szCs w:val="24"/>
              </w:rPr>
              <w:t>zorganizowanej  przestępczości</w:t>
            </w:r>
            <w:proofErr w:type="gramEnd"/>
            <w:r w:rsidRPr="00200F48">
              <w:rPr>
                <w:rFonts w:ascii="Arial" w:hAnsi="Arial" w:cs="Arial"/>
                <w:sz w:val="24"/>
                <w:szCs w:val="24"/>
              </w:rPr>
              <w:t xml:space="preserve">, w szczególności transgranicznej. Pozwolą na zaznajomienie uczestników z kwestiami związanymi z problematyką przestępczości </w:t>
            </w:r>
            <w:r w:rsidRPr="00200F48">
              <w:rPr>
                <w:rFonts w:ascii="Arial" w:hAnsi="Arial" w:cs="Arial"/>
                <w:sz w:val="24"/>
                <w:szCs w:val="24"/>
              </w:rPr>
              <w:lastRenderedPageBreak/>
              <w:t xml:space="preserve">zorganizowanej, w tym o charakterze ekonomicznym. Przyczynią się do powszechnego rozpropagowania informacji w zakresie technicznych środków i metod realizacji przestępstw oraz służących ukrywaniu mienia stanowiącego ich owoc. Ponadto w ramach projektu przedstawiona zostanie metodyka prowadzenia postępowań przygotowawczych dotyczących przestępstw przeciwko obrotowi gospodarczemu z akcentem na czyny tzw. „prania brudnych pieniędzy”. Poruszona zostanie kwestia przestępstw bazowych oraz metod i środków służących odzyskiwaniu mienia pochodzącego z przestępstwa, także przy wykorzystaniu współpracy z instytucjami pozakrajowymi. Wyjaśnione zostaną nadto kwestie tzw. </w:t>
            </w:r>
            <w:proofErr w:type="spellStart"/>
            <w:r w:rsidRPr="00200F48">
              <w:rPr>
                <w:rFonts w:ascii="Arial" w:hAnsi="Arial" w:cs="Arial"/>
                <w:sz w:val="24"/>
                <w:szCs w:val="24"/>
              </w:rPr>
              <w:t>kryptowalut</w:t>
            </w:r>
            <w:proofErr w:type="spellEnd"/>
            <w:r w:rsidRPr="00200F48">
              <w:rPr>
                <w:rFonts w:ascii="Arial" w:hAnsi="Arial" w:cs="Arial"/>
                <w:sz w:val="24"/>
                <w:szCs w:val="24"/>
              </w:rPr>
              <w:t xml:space="preserve">. Niezależnie od tego przedmiotem szkolenia będzie możliwość dochodzenia mienia pochodzącego przestępstw ulokowanego w tzw. „rajach podatkowych”  </w:t>
            </w:r>
          </w:p>
          <w:p w14:paraId="5D58DB8F" w14:textId="77777777" w:rsidR="00200F48" w:rsidRPr="00200F48" w:rsidRDefault="00200F48" w:rsidP="00200F48">
            <w:pPr>
              <w:spacing w:before="120" w:after="120" w:line="360" w:lineRule="auto"/>
              <w:ind w:left="176" w:right="141"/>
              <w:rPr>
                <w:rFonts w:ascii="Arial" w:hAnsi="Arial" w:cs="Arial"/>
                <w:sz w:val="24"/>
                <w:szCs w:val="24"/>
              </w:rPr>
            </w:pPr>
            <w:r w:rsidRPr="00200F48">
              <w:rPr>
                <w:rFonts w:ascii="Arial" w:hAnsi="Arial" w:cs="Arial"/>
                <w:sz w:val="24"/>
                <w:szCs w:val="24"/>
              </w:rPr>
              <w:t xml:space="preserve">Zadania wskazane do realizacji w ramach planowanej interwencji są również ujęte w Strategii modernizacji przestrzeni sprawiedliwości w Polsce na lata 2014-2020, w perspektywie rozwoju zakładając zmniejszenie luki kompetencyjnej kadr wymiaru sprawiedliwości i prokuratury poprzez zwiększenie liczby szkoleń interdyscyplinarnych. </w:t>
            </w:r>
          </w:p>
          <w:p w14:paraId="34EBEE2B" w14:textId="77777777" w:rsidR="00200F48" w:rsidRPr="00200F48" w:rsidRDefault="00200F48" w:rsidP="00200F48">
            <w:pPr>
              <w:spacing w:before="120" w:after="120" w:line="360" w:lineRule="auto"/>
              <w:ind w:left="176" w:right="141"/>
              <w:rPr>
                <w:rFonts w:ascii="Arial" w:hAnsi="Arial" w:cs="Arial"/>
                <w:sz w:val="24"/>
                <w:szCs w:val="24"/>
              </w:rPr>
            </w:pPr>
            <w:r w:rsidRPr="00200F48">
              <w:rPr>
                <w:rFonts w:ascii="Arial" w:hAnsi="Arial" w:cs="Arial"/>
                <w:sz w:val="24"/>
                <w:szCs w:val="24"/>
              </w:rPr>
              <w:t xml:space="preserve">Celem zaplanowanych szkoleń jest wyjście naprzeciw oczekiwaniom wyrażonym nie tylko przez uprawnione przez ustawodawcę </w:t>
            </w:r>
            <w:proofErr w:type="gramStart"/>
            <w:r w:rsidRPr="00200F48">
              <w:rPr>
                <w:rFonts w:ascii="Arial" w:hAnsi="Arial" w:cs="Arial"/>
                <w:sz w:val="24"/>
                <w:szCs w:val="24"/>
              </w:rPr>
              <w:t>organy ale</w:t>
            </w:r>
            <w:proofErr w:type="gramEnd"/>
            <w:r w:rsidRPr="00200F48">
              <w:rPr>
                <w:rFonts w:ascii="Arial" w:hAnsi="Arial" w:cs="Arial"/>
                <w:sz w:val="24"/>
                <w:szCs w:val="24"/>
              </w:rPr>
              <w:t xml:space="preserve"> również bezpośrednio przez jednostki. Przeprowadzenie szkoleń przyczyni się do podniesienia specjalistycznej wiedzy prawniczej w obszarze zorganizowanej przestępczości transgranicznej wśród kadr wymiaru sprawiedliwości. Organizacja szkoleń ogólnopolskich przyczyni się do trwałej </w:t>
            </w:r>
            <w:proofErr w:type="gramStart"/>
            <w:r w:rsidRPr="00200F48">
              <w:rPr>
                <w:rFonts w:ascii="Arial" w:hAnsi="Arial" w:cs="Arial"/>
                <w:sz w:val="24"/>
                <w:szCs w:val="24"/>
              </w:rPr>
              <w:t>poprawy jakości</w:t>
            </w:r>
            <w:proofErr w:type="gramEnd"/>
            <w:r w:rsidRPr="00200F48">
              <w:rPr>
                <w:rFonts w:ascii="Arial" w:hAnsi="Arial" w:cs="Arial"/>
                <w:sz w:val="24"/>
                <w:szCs w:val="24"/>
              </w:rPr>
              <w:t xml:space="preserve"> wydawanych orzeczeń i zwiększy skuteczność ich egzekwowania. Efektem szkoleń będzie wzrost wiedzy z obszaru zorganizowanej przestępczości transgranicznej, mierzony na podstawie praktycznego testu i potwierdzony wydanym w ramach projektu zaświadczeniem.</w:t>
            </w:r>
          </w:p>
        </w:tc>
      </w:tr>
      <w:tr w:rsidR="00200F48" w:rsidRPr="00200F48" w14:paraId="2415FCD0" w14:textId="77777777" w:rsidTr="00B81D3B">
        <w:trPr>
          <w:trHeight w:val="636"/>
        </w:trPr>
        <w:tc>
          <w:tcPr>
            <w:tcW w:w="9356" w:type="dxa"/>
            <w:gridSpan w:val="18"/>
            <w:tcBorders>
              <w:top w:val="single" w:sz="2" w:space="0" w:color="auto"/>
              <w:bottom w:val="single" w:sz="2" w:space="0" w:color="auto"/>
            </w:tcBorders>
            <w:shd w:val="clear" w:color="auto" w:fill="CCC0D9"/>
            <w:vAlign w:val="center"/>
          </w:tcPr>
          <w:p w14:paraId="191A615D"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lastRenderedPageBreak/>
              <w:t>Główne zadania przewidziane do realizacji w projekcie ze wskazaniem grup docelowych</w:t>
            </w:r>
          </w:p>
        </w:tc>
      </w:tr>
      <w:tr w:rsidR="00200F48" w:rsidRPr="00200F48" w14:paraId="7F58F760" w14:textId="77777777" w:rsidTr="00B81D3B">
        <w:trPr>
          <w:trHeight w:val="567"/>
        </w:trPr>
        <w:tc>
          <w:tcPr>
            <w:tcW w:w="9356" w:type="dxa"/>
            <w:gridSpan w:val="18"/>
            <w:tcBorders>
              <w:top w:val="single" w:sz="4" w:space="0" w:color="auto"/>
              <w:bottom w:val="single" w:sz="4" w:space="0" w:color="auto"/>
            </w:tcBorders>
            <w:shd w:val="clear" w:color="auto" w:fill="auto"/>
            <w:vAlign w:val="center"/>
          </w:tcPr>
          <w:p w14:paraId="7A906ABC" w14:textId="77777777" w:rsidR="00200F48" w:rsidRPr="00200F48" w:rsidRDefault="00200F48" w:rsidP="00200F48">
            <w:pPr>
              <w:spacing w:before="120" w:after="120" w:line="360" w:lineRule="auto"/>
              <w:ind w:right="175"/>
              <w:rPr>
                <w:rFonts w:ascii="Arial" w:hAnsi="Arial" w:cs="Arial"/>
                <w:sz w:val="24"/>
                <w:szCs w:val="24"/>
              </w:rPr>
            </w:pPr>
          </w:p>
          <w:p w14:paraId="115BB0D3" w14:textId="77777777" w:rsidR="00200F48" w:rsidRPr="00200F48" w:rsidRDefault="00200F48" w:rsidP="00200F48">
            <w:pPr>
              <w:numPr>
                <w:ilvl w:val="0"/>
                <w:numId w:val="20"/>
              </w:numPr>
              <w:spacing w:before="120" w:after="120" w:line="360" w:lineRule="auto"/>
              <w:ind w:right="175"/>
              <w:rPr>
                <w:rFonts w:ascii="Arial" w:hAnsi="Arial" w:cs="Arial"/>
                <w:b/>
                <w:sz w:val="24"/>
                <w:szCs w:val="24"/>
              </w:rPr>
            </w:pPr>
            <w:r w:rsidRPr="00200F48">
              <w:rPr>
                <w:rFonts w:ascii="Arial" w:hAnsi="Arial" w:cs="Arial"/>
                <w:b/>
                <w:sz w:val="24"/>
                <w:szCs w:val="24"/>
              </w:rPr>
              <w:t xml:space="preserve">Przeprowadzenie konsultacji z przedstawicielami kadr wymiaru sprawiedliwości oraz specjalistami z zakresu przestępczości </w:t>
            </w:r>
            <w:proofErr w:type="gramStart"/>
            <w:r w:rsidRPr="00200F48">
              <w:rPr>
                <w:rFonts w:ascii="Arial" w:hAnsi="Arial" w:cs="Arial"/>
                <w:b/>
                <w:sz w:val="24"/>
                <w:szCs w:val="24"/>
              </w:rPr>
              <w:lastRenderedPageBreak/>
              <w:t>transgranicznej  (lipiec</w:t>
            </w:r>
            <w:proofErr w:type="gramEnd"/>
            <w:r w:rsidRPr="00200F48">
              <w:rPr>
                <w:rFonts w:ascii="Arial" w:hAnsi="Arial" w:cs="Arial"/>
                <w:b/>
                <w:sz w:val="24"/>
                <w:szCs w:val="24"/>
              </w:rPr>
              <w:t xml:space="preserve"> 2021 r. – wrzesień 2021 r.)</w:t>
            </w:r>
          </w:p>
          <w:p w14:paraId="059B5251" w14:textId="77777777" w:rsidR="00200F48" w:rsidRPr="00200F48" w:rsidRDefault="00200F48" w:rsidP="00200F48">
            <w:pPr>
              <w:spacing w:before="120" w:after="120" w:line="360" w:lineRule="auto"/>
              <w:ind w:left="754" w:right="175"/>
              <w:rPr>
                <w:rFonts w:ascii="Arial" w:hAnsi="Arial" w:cs="Arial"/>
                <w:sz w:val="24"/>
                <w:szCs w:val="24"/>
              </w:rPr>
            </w:pPr>
            <w:r w:rsidRPr="00200F48">
              <w:rPr>
                <w:rFonts w:ascii="Arial" w:hAnsi="Arial" w:cs="Arial"/>
                <w:sz w:val="24"/>
                <w:szCs w:val="24"/>
              </w:rPr>
              <w:t xml:space="preserve">- zorganizowane zostaną warsztaty konsultacyjne z przedstawicielami sądów powszechnych i jednostek prokuratury oraz specjalistami z dziedziny przestępczości </w:t>
            </w:r>
            <w:proofErr w:type="gramStart"/>
            <w:r w:rsidRPr="00200F48">
              <w:rPr>
                <w:rFonts w:ascii="Arial" w:hAnsi="Arial" w:cs="Arial"/>
                <w:sz w:val="24"/>
                <w:szCs w:val="24"/>
              </w:rPr>
              <w:t>transgranicznej  w</w:t>
            </w:r>
            <w:proofErr w:type="gramEnd"/>
            <w:r w:rsidRPr="00200F48">
              <w:rPr>
                <w:rFonts w:ascii="Arial" w:hAnsi="Arial" w:cs="Arial"/>
                <w:sz w:val="24"/>
                <w:szCs w:val="24"/>
              </w:rPr>
              <w:t xml:space="preserve"> celu omówienia problematyki prowadzenia postępowań w obszarze zorganizowanej przestępczości transgranicznej, jak również głównych założeń programu szkoleniowego i możliwości jego realizacji;</w:t>
            </w:r>
          </w:p>
          <w:p w14:paraId="32B1A1BA" w14:textId="77777777" w:rsidR="00200F48" w:rsidRPr="00200F48" w:rsidRDefault="00200F48" w:rsidP="00200F48">
            <w:pPr>
              <w:numPr>
                <w:ilvl w:val="0"/>
                <w:numId w:val="20"/>
              </w:numPr>
              <w:spacing w:before="120" w:after="120" w:line="360" w:lineRule="auto"/>
              <w:ind w:right="175"/>
              <w:rPr>
                <w:rFonts w:ascii="Arial" w:hAnsi="Arial" w:cs="Arial"/>
                <w:b/>
                <w:sz w:val="24"/>
                <w:szCs w:val="24"/>
              </w:rPr>
            </w:pPr>
            <w:r w:rsidRPr="00200F48">
              <w:rPr>
                <w:rFonts w:ascii="Arial" w:hAnsi="Arial" w:cs="Arial"/>
                <w:b/>
                <w:sz w:val="24"/>
                <w:szCs w:val="24"/>
              </w:rPr>
              <w:t>Opracowanie programu szkolenia wraz z materiałami i obudową dydaktyczną przez eksperta (sierpień 2021r. – październik 2021 r.)</w:t>
            </w:r>
          </w:p>
          <w:p w14:paraId="63962E2A" w14:textId="77777777" w:rsidR="00200F48" w:rsidRPr="00200F48" w:rsidRDefault="00200F48" w:rsidP="00200F48">
            <w:pPr>
              <w:spacing w:before="120" w:after="120" w:line="360" w:lineRule="auto"/>
              <w:ind w:left="754" w:right="175"/>
              <w:rPr>
                <w:rFonts w:ascii="Arial" w:hAnsi="Arial" w:cs="Arial"/>
                <w:sz w:val="24"/>
                <w:szCs w:val="24"/>
              </w:rPr>
            </w:pPr>
            <w:r w:rsidRPr="00200F48">
              <w:rPr>
                <w:rFonts w:ascii="Arial" w:hAnsi="Arial" w:cs="Arial"/>
                <w:sz w:val="24"/>
                <w:szCs w:val="24"/>
              </w:rPr>
              <w:t>- opracowany zostanie przez eksperta dedykowany program szkolenia wraz z obudową metodyczną (cele i efekty szkolenia, materiały szkoleniowe, narzędzia weryfikujące efektywność szkoleń);</w:t>
            </w:r>
          </w:p>
          <w:p w14:paraId="1375FA0C" w14:textId="77777777" w:rsidR="00200F48" w:rsidRPr="00200F48" w:rsidRDefault="00200F48" w:rsidP="00200F48">
            <w:pPr>
              <w:numPr>
                <w:ilvl w:val="0"/>
                <w:numId w:val="20"/>
              </w:numPr>
              <w:spacing w:before="120" w:after="120" w:line="360" w:lineRule="auto"/>
              <w:ind w:right="175"/>
              <w:rPr>
                <w:rFonts w:ascii="Arial" w:hAnsi="Arial" w:cs="Arial"/>
                <w:b/>
                <w:sz w:val="24"/>
                <w:szCs w:val="24"/>
              </w:rPr>
            </w:pPr>
            <w:r w:rsidRPr="00200F48">
              <w:rPr>
                <w:rFonts w:ascii="Arial" w:hAnsi="Arial" w:cs="Arial"/>
                <w:b/>
                <w:sz w:val="24"/>
                <w:szCs w:val="24"/>
              </w:rPr>
              <w:t>Przeprowadzenie 20-godzinnych szkoleń dla 32 grup (śr. 25-</w:t>
            </w:r>
            <w:proofErr w:type="gramStart"/>
            <w:r w:rsidRPr="00200F48">
              <w:rPr>
                <w:rFonts w:ascii="Arial" w:hAnsi="Arial" w:cs="Arial"/>
                <w:b/>
                <w:sz w:val="24"/>
                <w:szCs w:val="24"/>
              </w:rPr>
              <w:t>osobowych</w:t>
            </w:r>
            <w:proofErr w:type="gramEnd"/>
            <w:r w:rsidRPr="00200F48">
              <w:rPr>
                <w:rFonts w:ascii="Arial" w:hAnsi="Arial" w:cs="Arial"/>
                <w:b/>
                <w:sz w:val="24"/>
                <w:szCs w:val="24"/>
              </w:rPr>
              <w:t>) (listopad 2021 r. – luty 2023 r.)</w:t>
            </w:r>
          </w:p>
          <w:p w14:paraId="30064A58" w14:textId="77777777" w:rsidR="00200F48" w:rsidRPr="00200F48" w:rsidRDefault="00200F48" w:rsidP="00200F48">
            <w:pPr>
              <w:spacing w:before="120" w:after="120" w:line="360" w:lineRule="auto"/>
              <w:ind w:left="754" w:right="175"/>
              <w:rPr>
                <w:rFonts w:ascii="Arial" w:hAnsi="Arial" w:cs="Arial"/>
                <w:sz w:val="24"/>
                <w:szCs w:val="24"/>
              </w:rPr>
            </w:pPr>
            <w:r w:rsidRPr="00200F48">
              <w:rPr>
                <w:rFonts w:ascii="Arial" w:hAnsi="Arial" w:cs="Arial"/>
                <w:sz w:val="24"/>
                <w:szCs w:val="24"/>
              </w:rPr>
              <w:t>- zorganizowane zostaną 3-dniowe (20-godzinne) szkolenia dla 32 grup z zakresu zapobiegania i zwalczania zorganizowanej przestępczości transgranicznej ze szczególnym uwzględnieniem metod zabezpieczania i odzyskiwania mienia pochodzącego z przestępstw w formie wykładowo-warsztatowej;</w:t>
            </w:r>
          </w:p>
          <w:p w14:paraId="7C5EDD58" w14:textId="77777777" w:rsidR="00200F48" w:rsidRPr="00200F48" w:rsidRDefault="00200F48" w:rsidP="00200F48">
            <w:pPr>
              <w:numPr>
                <w:ilvl w:val="0"/>
                <w:numId w:val="20"/>
              </w:numPr>
              <w:spacing w:before="120" w:after="120" w:line="360" w:lineRule="auto"/>
              <w:ind w:right="175"/>
              <w:rPr>
                <w:rFonts w:ascii="Arial" w:hAnsi="Arial" w:cs="Arial"/>
                <w:b/>
                <w:sz w:val="24"/>
                <w:szCs w:val="24"/>
              </w:rPr>
            </w:pPr>
            <w:r w:rsidRPr="00200F48">
              <w:rPr>
                <w:rFonts w:ascii="Arial" w:hAnsi="Arial" w:cs="Arial"/>
                <w:b/>
                <w:sz w:val="24"/>
                <w:szCs w:val="24"/>
              </w:rPr>
              <w:t xml:space="preserve">Opracowanie dodatkowych materiałów do wykorzystania w bieżącej pracy zawodowej - </w:t>
            </w:r>
            <w:proofErr w:type="gramStart"/>
            <w:r w:rsidRPr="00200F48">
              <w:rPr>
                <w:rFonts w:ascii="Arial" w:hAnsi="Arial" w:cs="Arial"/>
                <w:b/>
                <w:sz w:val="24"/>
                <w:szCs w:val="24"/>
              </w:rPr>
              <w:t>szkolenia  e-learningowego</w:t>
            </w:r>
            <w:proofErr w:type="gramEnd"/>
            <w:r w:rsidRPr="00200F48">
              <w:rPr>
                <w:rFonts w:ascii="Arial" w:hAnsi="Arial" w:cs="Arial"/>
                <w:b/>
                <w:sz w:val="24"/>
                <w:szCs w:val="24"/>
              </w:rPr>
              <w:t xml:space="preserve"> z obszaru zorganizowanej przestępczości transgranicznej (sierpień 2022 - marzec 2023 r.)</w:t>
            </w:r>
          </w:p>
          <w:p w14:paraId="5E5E6ED4" w14:textId="77777777" w:rsidR="00200F48" w:rsidRPr="00200F48" w:rsidRDefault="00200F48" w:rsidP="00200F48">
            <w:pPr>
              <w:spacing w:before="120" w:after="120" w:line="360" w:lineRule="auto"/>
              <w:ind w:left="754" w:right="175"/>
              <w:rPr>
                <w:rFonts w:ascii="Arial" w:hAnsi="Arial" w:cs="Arial"/>
                <w:sz w:val="24"/>
                <w:szCs w:val="24"/>
              </w:rPr>
            </w:pPr>
            <w:r w:rsidRPr="00200F48">
              <w:rPr>
                <w:rFonts w:ascii="Arial" w:hAnsi="Arial" w:cs="Arial"/>
                <w:sz w:val="24"/>
                <w:szCs w:val="24"/>
              </w:rPr>
              <w:t xml:space="preserve">- opracowane zostanie szkolenie e-learningowe, które następnie zostanie zaimplementowane na Platformie e-learningowej </w:t>
            </w:r>
            <w:proofErr w:type="spellStart"/>
            <w:r w:rsidRPr="00200F48">
              <w:rPr>
                <w:rFonts w:ascii="Arial" w:hAnsi="Arial" w:cs="Arial"/>
                <w:sz w:val="24"/>
                <w:szCs w:val="24"/>
              </w:rPr>
              <w:t>KSSiP</w:t>
            </w:r>
            <w:proofErr w:type="spellEnd"/>
            <w:r w:rsidRPr="00200F48">
              <w:rPr>
                <w:rFonts w:ascii="Arial" w:hAnsi="Arial" w:cs="Arial"/>
                <w:sz w:val="24"/>
                <w:szCs w:val="24"/>
              </w:rPr>
              <w:t xml:space="preserve"> i udostępnione wszystkim zainteresowanym;</w:t>
            </w:r>
          </w:p>
          <w:p w14:paraId="67CEB093"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sz w:val="24"/>
                <w:szCs w:val="24"/>
              </w:rPr>
              <w:t xml:space="preserve">Grupa docelowa: sędziowie i </w:t>
            </w:r>
            <w:proofErr w:type="gramStart"/>
            <w:r w:rsidRPr="00200F48">
              <w:rPr>
                <w:rFonts w:ascii="Arial" w:hAnsi="Arial" w:cs="Arial"/>
                <w:sz w:val="24"/>
                <w:szCs w:val="24"/>
              </w:rPr>
              <w:t>asesorzy</w:t>
            </w:r>
            <w:proofErr w:type="gramEnd"/>
            <w:r w:rsidRPr="00200F48">
              <w:rPr>
                <w:rFonts w:ascii="Arial" w:hAnsi="Arial" w:cs="Arial"/>
                <w:sz w:val="24"/>
                <w:szCs w:val="24"/>
              </w:rPr>
              <w:t xml:space="preserve"> sądowi, prokuratorzy i asesorzy prokuratury, asystenci sędziów i asystenci prokuratorów.</w:t>
            </w:r>
          </w:p>
        </w:tc>
      </w:tr>
      <w:tr w:rsidR="00200F48" w:rsidRPr="00200F48" w14:paraId="7A4E26F9" w14:textId="77777777" w:rsidTr="00B81D3B">
        <w:trPr>
          <w:trHeight w:val="567"/>
        </w:trPr>
        <w:tc>
          <w:tcPr>
            <w:tcW w:w="9356" w:type="dxa"/>
            <w:gridSpan w:val="18"/>
            <w:tcBorders>
              <w:top w:val="single" w:sz="4" w:space="0" w:color="auto"/>
              <w:bottom w:val="single" w:sz="4" w:space="0" w:color="auto"/>
            </w:tcBorders>
            <w:shd w:val="clear" w:color="auto" w:fill="CCC0D9"/>
            <w:vAlign w:val="center"/>
          </w:tcPr>
          <w:p w14:paraId="1317275F"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lastRenderedPageBreak/>
              <w:t>Zasadnicze działania ukierunkowane na wsparcie podejmowanej interwencji publicznej, zrealizowane dotychczas przez wnioskodawcę lub inne instytucje</w:t>
            </w:r>
          </w:p>
        </w:tc>
      </w:tr>
      <w:tr w:rsidR="00200F48" w:rsidRPr="00200F48" w14:paraId="751D557F" w14:textId="77777777" w:rsidTr="00B81D3B">
        <w:trPr>
          <w:trHeight w:val="567"/>
        </w:trPr>
        <w:tc>
          <w:tcPr>
            <w:tcW w:w="9356" w:type="dxa"/>
            <w:gridSpan w:val="18"/>
            <w:tcBorders>
              <w:top w:val="single" w:sz="4" w:space="0" w:color="auto"/>
              <w:bottom w:val="single" w:sz="4" w:space="0" w:color="auto"/>
            </w:tcBorders>
            <w:shd w:val="clear" w:color="auto" w:fill="auto"/>
            <w:vAlign w:val="center"/>
          </w:tcPr>
          <w:p w14:paraId="233A18E4" w14:textId="77777777" w:rsidR="00200F48" w:rsidRPr="00200F48" w:rsidRDefault="00200F48" w:rsidP="00200F48">
            <w:pPr>
              <w:spacing w:before="120" w:after="120" w:line="360" w:lineRule="auto"/>
              <w:ind w:left="176" w:right="141"/>
              <w:rPr>
                <w:rFonts w:ascii="Arial" w:hAnsi="Arial" w:cs="Arial"/>
                <w:color w:val="000000"/>
                <w:sz w:val="24"/>
                <w:szCs w:val="24"/>
              </w:rPr>
            </w:pPr>
            <w:r w:rsidRPr="00200F48">
              <w:rPr>
                <w:rFonts w:ascii="Arial" w:hAnsi="Arial" w:cs="Arial"/>
                <w:color w:val="000000"/>
                <w:sz w:val="24"/>
                <w:szCs w:val="24"/>
              </w:rPr>
              <w:lastRenderedPageBreak/>
              <w:t xml:space="preserve">Zgodnie ze strategią „Strategia na rzecz Odpowiedzialnego Rozwoju do roku 2020 (z perspektywą do 2030 r.)” jednym z jej efektów jest państwo bardziej przyjazne dla obywateli i przedsiębiorców w strefie instytucjonalnej, co zawarte jest w Celu Szczegółowym III Skuteczne państwo i instytucje służące wzrostowi oraz </w:t>
            </w:r>
            <w:proofErr w:type="gramStart"/>
            <w:r w:rsidRPr="00200F48">
              <w:rPr>
                <w:rFonts w:ascii="Arial" w:hAnsi="Arial" w:cs="Arial"/>
                <w:color w:val="000000"/>
                <w:sz w:val="24"/>
                <w:szCs w:val="24"/>
              </w:rPr>
              <w:t>włączeniu  społecznemu</w:t>
            </w:r>
            <w:proofErr w:type="gramEnd"/>
            <w:r w:rsidRPr="00200F48">
              <w:rPr>
                <w:rFonts w:ascii="Arial" w:hAnsi="Arial" w:cs="Arial"/>
                <w:color w:val="000000"/>
                <w:sz w:val="24"/>
                <w:szCs w:val="24"/>
              </w:rPr>
              <w:t xml:space="preserve"> i gospodarczemu. Konieczne jest też </w:t>
            </w:r>
            <w:r w:rsidRPr="00200F48">
              <w:rPr>
                <w:rFonts w:ascii="Arial" w:hAnsi="Arial" w:cs="Arial"/>
                <w:color w:val="000000"/>
                <w:sz w:val="24"/>
                <w:szCs w:val="24"/>
                <w:lang w:eastAsia="pl-PL"/>
              </w:rPr>
              <w:t>podwyższenie sprawności i efektywności postępowań przygotowawczych prowadzonych w sprawach o przestępstwa związane z zorganizowaną przestępczością transgraniczną w kontekście</w:t>
            </w:r>
            <w:r w:rsidRPr="00200F48">
              <w:rPr>
                <w:rFonts w:ascii="Arial" w:hAnsi="Arial" w:cs="Arial"/>
                <w:color w:val="000000"/>
                <w:sz w:val="24"/>
                <w:szCs w:val="24"/>
              </w:rPr>
              <w:t xml:space="preserve"> </w:t>
            </w:r>
            <w:r w:rsidRPr="00200F48">
              <w:rPr>
                <w:rFonts w:ascii="Arial" w:hAnsi="Arial" w:cs="Arial"/>
                <w:color w:val="000000"/>
                <w:sz w:val="24"/>
                <w:szCs w:val="24"/>
                <w:lang w:eastAsia="pl-PL"/>
              </w:rPr>
              <w:t>metod zabezpieczania i odzyskiwania mienia pochodzącego z przestępstw</w:t>
            </w:r>
            <w:r w:rsidRPr="00200F48">
              <w:rPr>
                <w:rFonts w:ascii="Arial" w:hAnsi="Arial" w:cs="Arial"/>
                <w:color w:val="000000"/>
                <w:sz w:val="24"/>
                <w:szCs w:val="24"/>
              </w:rPr>
              <w:t xml:space="preserve">. Celem takiego rozwiązania jest skuteczne zwalczanie przestępczości związanej z podatkiem od towarów i usług. </w:t>
            </w:r>
          </w:p>
          <w:p w14:paraId="06D9B52E" w14:textId="77777777" w:rsidR="00200F48" w:rsidRPr="00200F48" w:rsidRDefault="00200F48" w:rsidP="00200F48">
            <w:pPr>
              <w:spacing w:before="120" w:after="120" w:line="360" w:lineRule="auto"/>
              <w:ind w:left="176" w:right="141"/>
              <w:rPr>
                <w:rFonts w:ascii="Arial" w:hAnsi="Arial" w:cs="Arial"/>
                <w:sz w:val="24"/>
                <w:szCs w:val="24"/>
              </w:rPr>
            </w:pPr>
            <w:r w:rsidRPr="00200F48">
              <w:rPr>
                <w:rFonts w:ascii="Arial" w:hAnsi="Arial" w:cs="Arial"/>
                <w:sz w:val="24"/>
                <w:szCs w:val="24"/>
              </w:rPr>
              <w:t>Wśród zasadniczych działań ukierunkowanych na wsparcie interwencji publicznej, które dotychczas zostały zrealizowane przez Krajową Szkołę Sądownictwa i Prokuratury należy wymienić:</w:t>
            </w:r>
          </w:p>
          <w:p w14:paraId="69084AB9" w14:textId="77777777" w:rsidR="00200F48" w:rsidRPr="00200F48" w:rsidRDefault="00200F48" w:rsidP="00200F48">
            <w:pPr>
              <w:numPr>
                <w:ilvl w:val="0"/>
                <w:numId w:val="19"/>
              </w:numPr>
              <w:spacing w:before="120" w:after="120" w:line="360" w:lineRule="auto"/>
              <w:ind w:left="601" w:right="141"/>
              <w:rPr>
                <w:rFonts w:ascii="Arial" w:hAnsi="Arial" w:cs="Arial"/>
                <w:color w:val="000000"/>
                <w:sz w:val="24"/>
                <w:szCs w:val="24"/>
              </w:rPr>
            </w:pPr>
            <w:r w:rsidRPr="00200F48">
              <w:rPr>
                <w:rFonts w:ascii="Arial" w:hAnsi="Arial" w:cs="Arial"/>
                <w:color w:val="000000"/>
                <w:sz w:val="24"/>
                <w:szCs w:val="24"/>
              </w:rPr>
              <w:t xml:space="preserve">Realizację szkoleń w ramach projektu pt. „Szkolenia z zakresu przestępczości podatkowej dla kadr sądownictwa i prokuratury”, którego celem jest aktualizacja i podniesienie poziomu specjalistycznej wiedzy prawniczej z zakresu prawa gospodarczego i karnego skarbowego, w szczególności prawa podatkowego oraz doskonalenie praktycznych umiejętności u min. 497 pracowników powszechnych jednostek prok. (prokuratorów, </w:t>
            </w:r>
            <w:proofErr w:type="gramStart"/>
            <w:r w:rsidRPr="00200F48">
              <w:rPr>
                <w:rFonts w:ascii="Arial" w:hAnsi="Arial" w:cs="Arial"/>
                <w:color w:val="000000"/>
                <w:sz w:val="24"/>
                <w:szCs w:val="24"/>
              </w:rPr>
              <w:t>asesorów</w:t>
            </w:r>
            <w:proofErr w:type="gramEnd"/>
            <w:r w:rsidRPr="00200F48">
              <w:rPr>
                <w:rFonts w:ascii="Arial" w:hAnsi="Arial" w:cs="Arial"/>
                <w:color w:val="000000"/>
                <w:sz w:val="24"/>
                <w:szCs w:val="24"/>
              </w:rPr>
              <w:t xml:space="preserve"> oraz asystentów prokuratora) oraz sądów powszechnych (sędziów, asesorów sądowych, referendarzy i asystentów sędziego). Projekt realizowany jest w okresie 01.03.2020 </w:t>
            </w:r>
            <w:proofErr w:type="gramStart"/>
            <w:r w:rsidRPr="00200F48">
              <w:rPr>
                <w:rFonts w:ascii="Arial" w:hAnsi="Arial" w:cs="Arial"/>
                <w:color w:val="000000"/>
                <w:sz w:val="24"/>
                <w:szCs w:val="24"/>
              </w:rPr>
              <w:t>r</w:t>
            </w:r>
            <w:proofErr w:type="gramEnd"/>
            <w:r w:rsidRPr="00200F48">
              <w:rPr>
                <w:rFonts w:ascii="Arial" w:hAnsi="Arial" w:cs="Arial"/>
                <w:color w:val="000000"/>
                <w:sz w:val="24"/>
                <w:szCs w:val="24"/>
              </w:rPr>
              <w:t>. – 31.08.2021 r. Wartość projektu 999 854,40 zł.</w:t>
            </w:r>
          </w:p>
          <w:p w14:paraId="7E279111" w14:textId="77777777" w:rsidR="00200F48" w:rsidRPr="00200F48" w:rsidRDefault="00200F48" w:rsidP="00200F48">
            <w:pPr>
              <w:numPr>
                <w:ilvl w:val="0"/>
                <w:numId w:val="19"/>
              </w:numPr>
              <w:spacing w:before="120" w:after="120" w:line="360" w:lineRule="auto"/>
              <w:ind w:left="601" w:right="141"/>
              <w:rPr>
                <w:rFonts w:ascii="Arial" w:hAnsi="Arial" w:cs="Arial"/>
                <w:color w:val="000000"/>
                <w:sz w:val="24"/>
                <w:szCs w:val="24"/>
              </w:rPr>
            </w:pPr>
            <w:r w:rsidRPr="00200F48">
              <w:rPr>
                <w:rFonts w:ascii="Arial" w:hAnsi="Arial" w:cs="Arial"/>
                <w:color w:val="000000"/>
                <w:sz w:val="24"/>
                <w:szCs w:val="24"/>
              </w:rPr>
              <w:t xml:space="preserve">Realizacja szkoleń w ramach projektu pt. „Szkolenia z zakresu cyberprzestępczości dla kadr sądownictwa i prokuratury”, którego celem jest aktualizacja i podniesienie poziomu </w:t>
            </w:r>
            <w:proofErr w:type="gramStart"/>
            <w:r w:rsidRPr="00200F48">
              <w:rPr>
                <w:rFonts w:ascii="Arial" w:hAnsi="Arial" w:cs="Arial"/>
                <w:color w:val="000000"/>
                <w:sz w:val="24"/>
                <w:szCs w:val="24"/>
              </w:rPr>
              <w:t>specjalistycznej  wiedzy</w:t>
            </w:r>
            <w:proofErr w:type="gramEnd"/>
            <w:r w:rsidRPr="00200F48">
              <w:rPr>
                <w:rFonts w:ascii="Arial" w:hAnsi="Arial" w:cs="Arial"/>
                <w:color w:val="000000"/>
                <w:sz w:val="24"/>
                <w:szCs w:val="24"/>
              </w:rPr>
              <w:t xml:space="preserve"> prawniczej  z zakresu prawa gospodarczego, w szczególności dotyczącego zwalczania i zapobiegania przestępczości popełnianej przy wykorzystaniu systemów informatycznych oraz doskonalenie praktycznych  umiejętności zawodowych u min. 540 pracowników powszechnych jednostek  prokuratury (prokuratorów, asesorów oraz asystentów prokuratora) oraz sądów powszechnych (sędziów, asesorów sądowych, referendarzy i asystentów sędziego). Projekt realizowany jest w okresie 01.03.2020 </w:t>
            </w:r>
            <w:proofErr w:type="gramStart"/>
            <w:r w:rsidRPr="00200F48">
              <w:rPr>
                <w:rFonts w:ascii="Arial" w:hAnsi="Arial" w:cs="Arial"/>
                <w:color w:val="000000"/>
                <w:sz w:val="24"/>
                <w:szCs w:val="24"/>
              </w:rPr>
              <w:t>r</w:t>
            </w:r>
            <w:proofErr w:type="gramEnd"/>
            <w:r w:rsidRPr="00200F48">
              <w:rPr>
                <w:rFonts w:ascii="Arial" w:hAnsi="Arial" w:cs="Arial"/>
                <w:color w:val="000000"/>
                <w:sz w:val="24"/>
                <w:szCs w:val="24"/>
              </w:rPr>
              <w:t>. – 31.08.2021 r. Wartość projektu 1 199 767,20 zł.</w:t>
            </w:r>
          </w:p>
          <w:p w14:paraId="4EF52EAA" w14:textId="77777777" w:rsidR="00200F48" w:rsidRPr="00200F48" w:rsidRDefault="00200F48" w:rsidP="00200F48">
            <w:pPr>
              <w:numPr>
                <w:ilvl w:val="0"/>
                <w:numId w:val="19"/>
              </w:numPr>
              <w:spacing w:before="120" w:after="120" w:line="360" w:lineRule="auto"/>
              <w:ind w:left="601" w:right="141"/>
              <w:rPr>
                <w:rFonts w:ascii="Arial" w:hAnsi="Arial" w:cs="Arial"/>
                <w:color w:val="000000"/>
                <w:sz w:val="24"/>
                <w:szCs w:val="24"/>
              </w:rPr>
            </w:pPr>
            <w:r w:rsidRPr="00200F48">
              <w:rPr>
                <w:rFonts w:ascii="Arial" w:hAnsi="Arial" w:cs="Arial"/>
                <w:color w:val="000000"/>
                <w:sz w:val="24"/>
                <w:szCs w:val="24"/>
              </w:rPr>
              <w:lastRenderedPageBreak/>
              <w:t xml:space="preserve">Modernizacja Platformy Szkoleniowej </w:t>
            </w:r>
            <w:proofErr w:type="spellStart"/>
            <w:r w:rsidRPr="00200F48">
              <w:rPr>
                <w:rFonts w:ascii="Arial" w:hAnsi="Arial" w:cs="Arial"/>
                <w:color w:val="000000"/>
                <w:sz w:val="24"/>
                <w:szCs w:val="24"/>
              </w:rPr>
              <w:t>KSSiP</w:t>
            </w:r>
            <w:proofErr w:type="spellEnd"/>
            <w:r w:rsidRPr="00200F48">
              <w:rPr>
                <w:rFonts w:ascii="Arial" w:hAnsi="Arial" w:cs="Arial"/>
                <w:color w:val="000000"/>
                <w:sz w:val="24"/>
                <w:szCs w:val="24"/>
              </w:rPr>
              <w:t xml:space="preserve"> (portalu e-</w:t>
            </w:r>
            <w:proofErr w:type="spellStart"/>
            <w:r w:rsidRPr="00200F48">
              <w:rPr>
                <w:rFonts w:ascii="Arial" w:hAnsi="Arial" w:cs="Arial"/>
                <w:color w:val="000000"/>
                <w:sz w:val="24"/>
                <w:szCs w:val="24"/>
              </w:rPr>
              <w:t>KSSiP</w:t>
            </w:r>
            <w:proofErr w:type="spellEnd"/>
            <w:r w:rsidRPr="00200F48">
              <w:rPr>
                <w:rFonts w:ascii="Arial" w:hAnsi="Arial" w:cs="Arial"/>
                <w:color w:val="000000"/>
                <w:sz w:val="24"/>
                <w:szCs w:val="24"/>
              </w:rPr>
              <w:t xml:space="preserve">) w celu zwiększenia dostępu do oferty szkoleń stacjonarnych i e-learningowych </w:t>
            </w:r>
            <w:proofErr w:type="spellStart"/>
            <w:r w:rsidRPr="00200F48">
              <w:rPr>
                <w:rFonts w:ascii="Arial" w:hAnsi="Arial" w:cs="Arial"/>
                <w:color w:val="000000"/>
                <w:sz w:val="24"/>
                <w:szCs w:val="24"/>
              </w:rPr>
              <w:t>KSSiP</w:t>
            </w:r>
            <w:proofErr w:type="spellEnd"/>
            <w:r w:rsidRPr="00200F48">
              <w:rPr>
                <w:rFonts w:ascii="Arial" w:hAnsi="Arial" w:cs="Arial"/>
                <w:color w:val="000000"/>
                <w:sz w:val="24"/>
                <w:szCs w:val="24"/>
              </w:rPr>
              <w:t xml:space="preserve"> w ramach projektu „Wdrożenie nowoczesnych metod badania potrzeb szkoleniowych i kształcenia kluczem do skutecznego wymiaru sprawiedliwości” (Działanie 2.17 PO WER) – opracowanie portalu e-</w:t>
            </w:r>
            <w:proofErr w:type="spellStart"/>
            <w:r w:rsidRPr="00200F48">
              <w:rPr>
                <w:rFonts w:ascii="Arial" w:hAnsi="Arial" w:cs="Arial"/>
                <w:color w:val="000000"/>
                <w:sz w:val="24"/>
                <w:szCs w:val="24"/>
              </w:rPr>
              <w:t>KSSiP</w:t>
            </w:r>
            <w:proofErr w:type="spellEnd"/>
            <w:r w:rsidRPr="00200F48">
              <w:rPr>
                <w:rFonts w:ascii="Arial" w:hAnsi="Arial" w:cs="Arial"/>
                <w:color w:val="000000"/>
                <w:sz w:val="24"/>
                <w:szCs w:val="24"/>
              </w:rPr>
              <w:t xml:space="preserve"> w celu wprowadzenia nowoczesnych technologii oraz zwiększenia standardu dostępności on-line do szkoleń;</w:t>
            </w:r>
          </w:p>
          <w:p w14:paraId="2F0C0268" w14:textId="77777777" w:rsidR="00200F48" w:rsidRPr="00200F48" w:rsidRDefault="00200F48" w:rsidP="00200F48">
            <w:pPr>
              <w:numPr>
                <w:ilvl w:val="0"/>
                <w:numId w:val="19"/>
              </w:numPr>
              <w:spacing w:before="120" w:after="120" w:line="360" w:lineRule="auto"/>
              <w:ind w:left="601" w:right="141"/>
              <w:rPr>
                <w:rFonts w:ascii="Arial" w:hAnsi="Arial" w:cs="Arial"/>
                <w:sz w:val="24"/>
                <w:szCs w:val="24"/>
              </w:rPr>
            </w:pPr>
            <w:r w:rsidRPr="00200F48">
              <w:rPr>
                <w:rFonts w:ascii="Arial" w:hAnsi="Arial" w:cs="Arial"/>
                <w:sz w:val="24"/>
                <w:szCs w:val="24"/>
              </w:rPr>
              <w:t xml:space="preserve">Projekt „Zapobieganie i zwalczanie przestępczości podatkowej”, którego głównym celem była aktualizacja i podniesienie poziomu specjalistycznej wiedzy prawniczej z zakresu prawa gospodarczego, w szczególności prawa podatkowego oraz doskonalenie praktycznych umiejętności zawodowych u min. 765 pracowników powszechnych jednostek prokuratury (prokuratorów, </w:t>
            </w:r>
            <w:proofErr w:type="gramStart"/>
            <w:r w:rsidRPr="00200F48">
              <w:rPr>
                <w:rFonts w:ascii="Arial" w:hAnsi="Arial" w:cs="Arial"/>
                <w:sz w:val="24"/>
                <w:szCs w:val="24"/>
              </w:rPr>
              <w:t>asesorów</w:t>
            </w:r>
            <w:proofErr w:type="gramEnd"/>
            <w:r w:rsidRPr="00200F48">
              <w:rPr>
                <w:rFonts w:ascii="Arial" w:hAnsi="Arial" w:cs="Arial"/>
                <w:sz w:val="24"/>
                <w:szCs w:val="24"/>
              </w:rPr>
              <w:t xml:space="preserve"> oraz asystentów prokuratora). Projekt realizowany był w okresie 01.06.2017 </w:t>
            </w:r>
            <w:proofErr w:type="gramStart"/>
            <w:r w:rsidRPr="00200F48">
              <w:rPr>
                <w:rFonts w:ascii="Arial" w:hAnsi="Arial" w:cs="Arial"/>
                <w:sz w:val="24"/>
                <w:szCs w:val="24"/>
              </w:rPr>
              <w:t>r</w:t>
            </w:r>
            <w:proofErr w:type="gramEnd"/>
            <w:r w:rsidRPr="00200F48">
              <w:rPr>
                <w:rFonts w:ascii="Arial" w:hAnsi="Arial" w:cs="Arial"/>
                <w:sz w:val="24"/>
                <w:szCs w:val="24"/>
              </w:rPr>
              <w:t>. – 31.01.2019 r. Wartość projektu 1 271 646,00 zł.</w:t>
            </w:r>
          </w:p>
          <w:p w14:paraId="7AC510AA" w14:textId="77777777" w:rsidR="00200F48" w:rsidRPr="00200F48" w:rsidRDefault="00200F48" w:rsidP="00200F48">
            <w:pPr>
              <w:numPr>
                <w:ilvl w:val="0"/>
                <w:numId w:val="19"/>
              </w:numPr>
              <w:spacing w:before="120" w:after="120" w:line="360" w:lineRule="auto"/>
              <w:ind w:left="601" w:right="141"/>
              <w:rPr>
                <w:rFonts w:ascii="Arial" w:hAnsi="Arial" w:cs="Arial"/>
                <w:sz w:val="24"/>
                <w:szCs w:val="24"/>
              </w:rPr>
            </w:pPr>
            <w:r w:rsidRPr="00200F48">
              <w:rPr>
                <w:rFonts w:ascii="Arial" w:hAnsi="Arial" w:cs="Arial"/>
                <w:sz w:val="24"/>
                <w:szCs w:val="24"/>
              </w:rPr>
              <w:t xml:space="preserve">Projekt „Zapobieganie i zwalczanie cyberprzestępczości”, którego głównym celem była aktualizacja i podniesienie poziomu specjalistycznej wiedzy prawniczej z zakresu prawa gospodarczego, w szczególności dot. zwalczania i zapobiegania przestępczości popełnianej przy wykorzystaniu systemów informatycznych oraz doskonalenie praktycznych umiejętności zawodowych u min. 765 pracowników powszechnych jednostek prokuratury (prokuratorów, </w:t>
            </w:r>
            <w:proofErr w:type="gramStart"/>
            <w:r w:rsidRPr="00200F48">
              <w:rPr>
                <w:rFonts w:ascii="Arial" w:hAnsi="Arial" w:cs="Arial"/>
                <w:sz w:val="24"/>
                <w:szCs w:val="24"/>
              </w:rPr>
              <w:t>asesorów</w:t>
            </w:r>
            <w:proofErr w:type="gramEnd"/>
            <w:r w:rsidRPr="00200F48">
              <w:rPr>
                <w:rFonts w:ascii="Arial" w:hAnsi="Arial" w:cs="Arial"/>
                <w:sz w:val="24"/>
                <w:szCs w:val="24"/>
              </w:rPr>
              <w:t xml:space="preserve"> oraz asystentów prokuratora). Projekt realizowany był w okresie 01.06.2017 </w:t>
            </w:r>
            <w:proofErr w:type="gramStart"/>
            <w:r w:rsidRPr="00200F48">
              <w:rPr>
                <w:rFonts w:ascii="Arial" w:hAnsi="Arial" w:cs="Arial"/>
                <w:sz w:val="24"/>
                <w:szCs w:val="24"/>
              </w:rPr>
              <w:t>r</w:t>
            </w:r>
            <w:proofErr w:type="gramEnd"/>
            <w:r w:rsidRPr="00200F48">
              <w:rPr>
                <w:rFonts w:ascii="Arial" w:hAnsi="Arial" w:cs="Arial"/>
                <w:sz w:val="24"/>
                <w:szCs w:val="24"/>
              </w:rPr>
              <w:t>. – 31.01.2019 r. Wartość projektu 1 333 578,00 zł.</w:t>
            </w:r>
          </w:p>
        </w:tc>
      </w:tr>
      <w:tr w:rsidR="00200F48" w:rsidRPr="00200F48" w14:paraId="3C56D021" w14:textId="77777777" w:rsidTr="00B81D3B">
        <w:trPr>
          <w:trHeight w:val="567"/>
        </w:trPr>
        <w:tc>
          <w:tcPr>
            <w:tcW w:w="9356" w:type="dxa"/>
            <w:gridSpan w:val="18"/>
            <w:tcBorders>
              <w:top w:val="single" w:sz="4" w:space="0" w:color="auto"/>
              <w:bottom w:val="single" w:sz="4" w:space="0" w:color="auto"/>
            </w:tcBorders>
            <w:shd w:val="clear" w:color="auto" w:fill="CCC0D9"/>
            <w:vAlign w:val="center"/>
          </w:tcPr>
          <w:p w14:paraId="0165E034"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lastRenderedPageBreak/>
              <w:t>Uwarunkowania skutecznej realizacji założeń interwencji publicznej (interesariusze, stan prawny, itd.)</w:t>
            </w:r>
          </w:p>
        </w:tc>
      </w:tr>
      <w:tr w:rsidR="00200F48" w:rsidRPr="00200F48" w14:paraId="20274920" w14:textId="77777777" w:rsidTr="00B81D3B">
        <w:trPr>
          <w:trHeight w:val="567"/>
        </w:trPr>
        <w:tc>
          <w:tcPr>
            <w:tcW w:w="9356" w:type="dxa"/>
            <w:gridSpan w:val="18"/>
            <w:tcBorders>
              <w:top w:val="single" w:sz="4" w:space="0" w:color="auto"/>
              <w:bottom w:val="single" w:sz="4" w:space="0" w:color="auto"/>
            </w:tcBorders>
            <w:shd w:val="clear" w:color="auto" w:fill="auto"/>
            <w:vAlign w:val="center"/>
          </w:tcPr>
          <w:p w14:paraId="697B6664" w14:textId="77777777" w:rsidR="00200F48" w:rsidRPr="00200F48" w:rsidRDefault="00200F48" w:rsidP="00200F48">
            <w:pPr>
              <w:spacing w:before="120" w:after="120" w:line="360" w:lineRule="auto"/>
              <w:ind w:left="176" w:right="142"/>
              <w:rPr>
                <w:rFonts w:ascii="Arial" w:hAnsi="Arial" w:cs="Arial"/>
                <w:sz w:val="24"/>
                <w:szCs w:val="24"/>
              </w:rPr>
            </w:pPr>
            <w:r w:rsidRPr="00200F48">
              <w:rPr>
                <w:rFonts w:ascii="Arial" w:hAnsi="Arial" w:cs="Arial"/>
                <w:sz w:val="24"/>
                <w:szCs w:val="24"/>
              </w:rPr>
              <w:t xml:space="preserve">Odbiorcy szkoleń organizowanych przez </w:t>
            </w:r>
            <w:proofErr w:type="spellStart"/>
            <w:r w:rsidRPr="00200F48">
              <w:rPr>
                <w:rFonts w:ascii="Arial" w:hAnsi="Arial" w:cs="Arial"/>
                <w:sz w:val="24"/>
                <w:szCs w:val="24"/>
              </w:rPr>
              <w:t>KSSiP</w:t>
            </w:r>
            <w:proofErr w:type="spellEnd"/>
            <w:r w:rsidRPr="00200F48">
              <w:rPr>
                <w:rFonts w:ascii="Arial" w:hAnsi="Arial" w:cs="Arial"/>
                <w:sz w:val="24"/>
                <w:szCs w:val="24"/>
              </w:rPr>
              <w:t xml:space="preserve"> (kadra wymiaru sprawiedliwości) ustawowo zobowiązani są do podnoszenia kwalifikacji zawodowych. Zgodnie z art. 98 ustawy z dnia 28 stycznia 2016 r. Prawo o prokuraturze (tj. Dz.U. 2019, </w:t>
            </w:r>
            <w:proofErr w:type="gramStart"/>
            <w:r w:rsidRPr="00200F48">
              <w:rPr>
                <w:rFonts w:ascii="Arial" w:hAnsi="Arial" w:cs="Arial"/>
                <w:sz w:val="24"/>
                <w:szCs w:val="24"/>
              </w:rPr>
              <w:t>poz</w:t>
            </w:r>
            <w:proofErr w:type="gramEnd"/>
            <w:r w:rsidRPr="00200F48">
              <w:rPr>
                <w:rFonts w:ascii="Arial" w:hAnsi="Arial" w:cs="Arial"/>
                <w:sz w:val="24"/>
                <w:szCs w:val="24"/>
              </w:rPr>
              <w:t xml:space="preserve">. 740 ze zm.) prokurator jest obowiązany stale podnosić kwalifikacje zawodowe, w tym uczestniczyć w szkoleniach i innych formach doskonalenia zawodowego. Art. 82a § 1 ustawy z dnia 27 lipca 2001 r. Prawo o ustroju sądów powszechnych (tj. Dz. U. 2020, </w:t>
            </w:r>
            <w:proofErr w:type="gramStart"/>
            <w:r w:rsidRPr="00200F48">
              <w:rPr>
                <w:rFonts w:ascii="Arial" w:hAnsi="Arial" w:cs="Arial"/>
                <w:sz w:val="24"/>
                <w:szCs w:val="24"/>
              </w:rPr>
              <w:t>poz</w:t>
            </w:r>
            <w:proofErr w:type="gramEnd"/>
            <w:r w:rsidRPr="00200F48">
              <w:rPr>
                <w:rFonts w:ascii="Arial" w:hAnsi="Arial" w:cs="Arial"/>
                <w:sz w:val="24"/>
                <w:szCs w:val="24"/>
              </w:rPr>
              <w:t xml:space="preserve">. 365 ze zm.) nakłada na sędziów obowiązek stałego podnoszenia </w:t>
            </w:r>
            <w:r w:rsidRPr="00200F48">
              <w:rPr>
                <w:rFonts w:ascii="Arial" w:hAnsi="Arial" w:cs="Arial"/>
                <w:sz w:val="24"/>
                <w:szCs w:val="24"/>
              </w:rPr>
              <w:lastRenderedPageBreak/>
              <w:t xml:space="preserve">kwalifikacji zawodowych. Natomiast § 3 ww. artykułu wskazuje, iż sędzia jest obowiązany uczestniczyć, w miarę możliwości corocznie, w szkoleniu i doskonaleniu zawodowym organizowanym przez Krajową Szkołę Sądownictwa i Prokuratury lub innych formach doskonalenia zawodowego, w celu uzupełnienia specjalistycznej wiedzy i umiejętności zawodowych. </w:t>
            </w:r>
          </w:p>
          <w:p w14:paraId="3E13FEEB" w14:textId="77777777" w:rsidR="00200F48" w:rsidRPr="00200F48" w:rsidRDefault="00200F48" w:rsidP="00200F48">
            <w:pPr>
              <w:spacing w:before="120" w:after="120" w:line="360" w:lineRule="auto"/>
              <w:ind w:left="176" w:right="142"/>
              <w:rPr>
                <w:rFonts w:ascii="Arial" w:hAnsi="Arial" w:cs="Arial"/>
                <w:b/>
                <w:sz w:val="24"/>
                <w:szCs w:val="24"/>
              </w:rPr>
            </w:pPr>
            <w:r w:rsidRPr="00200F48">
              <w:rPr>
                <w:rFonts w:ascii="Arial" w:hAnsi="Arial" w:cs="Arial"/>
                <w:sz w:val="24"/>
                <w:szCs w:val="24"/>
              </w:rPr>
              <w:t xml:space="preserve">Obecny stan prawny pozwala na rozpoczęcie prac przygotowawczych do realizacji projektu. Warunkiem skutecznej realizacji projektu jest także zaangażowanie wszystkich interesariuszy tj. sądów powszechnych i jednostek prokuratury oraz sędziów, </w:t>
            </w:r>
            <w:proofErr w:type="gramStart"/>
            <w:r w:rsidRPr="00200F48">
              <w:rPr>
                <w:rFonts w:ascii="Arial" w:hAnsi="Arial" w:cs="Arial"/>
                <w:sz w:val="24"/>
                <w:szCs w:val="24"/>
              </w:rPr>
              <w:t>asesorów</w:t>
            </w:r>
            <w:proofErr w:type="gramEnd"/>
            <w:r w:rsidRPr="00200F48">
              <w:rPr>
                <w:rFonts w:ascii="Arial" w:hAnsi="Arial" w:cs="Arial"/>
                <w:sz w:val="24"/>
                <w:szCs w:val="24"/>
              </w:rPr>
              <w:t xml:space="preserve"> sądowych i asystentów sądowych, prokuratorów, asesorów prokuratury i asystentów prokuratorów. Potencjał kadrowy i zasoby techniczne </w:t>
            </w:r>
            <w:proofErr w:type="spellStart"/>
            <w:r w:rsidRPr="00200F48">
              <w:rPr>
                <w:rFonts w:ascii="Arial" w:hAnsi="Arial" w:cs="Arial"/>
                <w:sz w:val="24"/>
                <w:szCs w:val="24"/>
              </w:rPr>
              <w:t>KSSiP</w:t>
            </w:r>
            <w:proofErr w:type="spellEnd"/>
            <w:r w:rsidRPr="00200F48">
              <w:rPr>
                <w:rFonts w:ascii="Arial" w:hAnsi="Arial" w:cs="Arial"/>
                <w:sz w:val="24"/>
                <w:szCs w:val="24"/>
              </w:rPr>
              <w:t xml:space="preserve"> pozwalają na skuteczną realizację projektu.</w:t>
            </w:r>
          </w:p>
        </w:tc>
      </w:tr>
      <w:tr w:rsidR="00200F48" w:rsidRPr="00200F48" w14:paraId="43AF20D4" w14:textId="77777777" w:rsidTr="00B81D3B">
        <w:trPr>
          <w:trHeight w:val="567"/>
        </w:trPr>
        <w:tc>
          <w:tcPr>
            <w:tcW w:w="9356" w:type="dxa"/>
            <w:gridSpan w:val="18"/>
            <w:tcBorders>
              <w:top w:val="single" w:sz="4" w:space="0" w:color="auto"/>
              <w:bottom w:val="single" w:sz="4" w:space="0" w:color="auto"/>
            </w:tcBorders>
            <w:shd w:val="clear" w:color="auto" w:fill="CCC0D9"/>
            <w:vAlign w:val="center"/>
          </w:tcPr>
          <w:p w14:paraId="1E2D1C9B"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lastRenderedPageBreak/>
              <w:t>Dalsze etapy planowane do wdrożenia poza projektem, o ile zostaną spełnione warunki umożliwiające ich skuteczne wykonanie</w:t>
            </w:r>
          </w:p>
        </w:tc>
      </w:tr>
      <w:tr w:rsidR="00200F48" w:rsidRPr="00200F48" w14:paraId="682B1269" w14:textId="77777777" w:rsidTr="00B81D3B">
        <w:trPr>
          <w:trHeight w:val="567"/>
        </w:trPr>
        <w:tc>
          <w:tcPr>
            <w:tcW w:w="9356" w:type="dxa"/>
            <w:gridSpan w:val="18"/>
            <w:tcBorders>
              <w:top w:val="single" w:sz="4" w:space="0" w:color="auto"/>
              <w:bottom w:val="single" w:sz="12" w:space="0" w:color="auto"/>
            </w:tcBorders>
            <w:shd w:val="clear" w:color="auto" w:fill="auto"/>
            <w:vAlign w:val="center"/>
          </w:tcPr>
          <w:p w14:paraId="308B3989"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sz w:val="24"/>
                <w:szCs w:val="24"/>
              </w:rPr>
              <w:t xml:space="preserve">Program szkoleniowy opracowany w ramach niniejszego projektu będzie stale aktualizowany i wykorzystywany w ustawicznej działalności </w:t>
            </w:r>
            <w:proofErr w:type="spellStart"/>
            <w:r w:rsidRPr="00200F48">
              <w:rPr>
                <w:rFonts w:ascii="Arial" w:hAnsi="Arial" w:cs="Arial"/>
                <w:sz w:val="24"/>
                <w:szCs w:val="24"/>
              </w:rPr>
              <w:t>KSSiP</w:t>
            </w:r>
            <w:proofErr w:type="spellEnd"/>
            <w:r w:rsidRPr="00200F48">
              <w:rPr>
                <w:rFonts w:ascii="Arial" w:hAnsi="Arial" w:cs="Arial"/>
                <w:sz w:val="24"/>
                <w:szCs w:val="24"/>
              </w:rPr>
              <w:t xml:space="preserve"> w kolejnych latach. Realizacja projektu umożliwi dopasowanie oferty kształcenia do potrzeb wymiaru sprawiedliwości poprzez zwiększenie liczby szkoleń specjalistycznych oferowanych przez </w:t>
            </w:r>
            <w:proofErr w:type="spellStart"/>
            <w:r w:rsidRPr="00200F48">
              <w:rPr>
                <w:rFonts w:ascii="Arial" w:hAnsi="Arial" w:cs="Arial"/>
                <w:sz w:val="24"/>
                <w:szCs w:val="24"/>
              </w:rPr>
              <w:t>KSSiP</w:t>
            </w:r>
            <w:proofErr w:type="spellEnd"/>
            <w:r w:rsidRPr="00200F48">
              <w:rPr>
                <w:rFonts w:ascii="Arial" w:hAnsi="Arial" w:cs="Arial"/>
                <w:sz w:val="24"/>
                <w:szCs w:val="24"/>
              </w:rPr>
              <w:t>.</w:t>
            </w:r>
          </w:p>
        </w:tc>
      </w:tr>
      <w:tr w:rsidR="00200F48" w:rsidRPr="00200F48" w14:paraId="3A574F7B" w14:textId="77777777" w:rsidTr="00B81D3B">
        <w:trPr>
          <w:trHeight w:val="396"/>
        </w:trPr>
        <w:tc>
          <w:tcPr>
            <w:tcW w:w="9356" w:type="dxa"/>
            <w:gridSpan w:val="18"/>
            <w:tcBorders>
              <w:top w:val="single" w:sz="12" w:space="0" w:color="auto"/>
              <w:bottom w:val="single" w:sz="12" w:space="0" w:color="auto"/>
            </w:tcBorders>
            <w:shd w:val="clear" w:color="auto" w:fill="CCC0D9"/>
            <w:vAlign w:val="center"/>
          </w:tcPr>
          <w:p w14:paraId="576E3796"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ZAKŁADANE EFEKTY PROJEKTU WYRAŻONE WSKAŹNIKAMI (W PODZIALE NA PŁEĆ I OGÓŁEM)</w:t>
            </w:r>
          </w:p>
        </w:tc>
      </w:tr>
      <w:tr w:rsidR="00200F48" w:rsidRPr="00200F48" w14:paraId="4FEB6B65" w14:textId="77777777" w:rsidTr="00B81D3B">
        <w:trPr>
          <w:trHeight w:val="455"/>
        </w:trPr>
        <w:tc>
          <w:tcPr>
            <w:tcW w:w="9356" w:type="dxa"/>
            <w:gridSpan w:val="18"/>
            <w:tcBorders>
              <w:top w:val="single" w:sz="12" w:space="0" w:color="auto"/>
              <w:bottom w:val="single" w:sz="12" w:space="0" w:color="auto"/>
            </w:tcBorders>
            <w:shd w:val="clear" w:color="auto" w:fill="CCC0D9"/>
            <w:vAlign w:val="center"/>
          </w:tcPr>
          <w:p w14:paraId="4291014B" w14:textId="77777777" w:rsidR="00200F48" w:rsidRPr="00200F48" w:rsidRDefault="00200F48" w:rsidP="00200F48">
            <w:pPr>
              <w:spacing w:before="120" w:after="120" w:line="360" w:lineRule="auto"/>
              <w:rPr>
                <w:rFonts w:ascii="Arial" w:hAnsi="Arial" w:cs="Arial"/>
                <w:b/>
                <w:sz w:val="24"/>
                <w:szCs w:val="24"/>
              </w:rPr>
            </w:pPr>
            <w:r w:rsidRPr="00200F48">
              <w:rPr>
                <w:rFonts w:ascii="Arial" w:hAnsi="Arial" w:cs="Arial"/>
                <w:b/>
                <w:sz w:val="24"/>
                <w:szCs w:val="24"/>
              </w:rPr>
              <w:t>WSKAŹNIKI REZULTATU</w:t>
            </w:r>
          </w:p>
        </w:tc>
      </w:tr>
      <w:tr w:rsidR="00200F48" w:rsidRPr="00200F48" w14:paraId="10055883" w14:textId="77777777" w:rsidTr="00B81D3B">
        <w:trPr>
          <w:trHeight w:val="567"/>
        </w:trPr>
        <w:tc>
          <w:tcPr>
            <w:tcW w:w="4247" w:type="dxa"/>
            <w:gridSpan w:val="9"/>
            <w:vMerge w:val="restart"/>
            <w:tcBorders>
              <w:top w:val="single" w:sz="12" w:space="0" w:color="auto"/>
              <w:right w:val="single" w:sz="6" w:space="0" w:color="auto"/>
            </w:tcBorders>
            <w:shd w:val="clear" w:color="auto" w:fill="CCC0D9"/>
            <w:vAlign w:val="center"/>
          </w:tcPr>
          <w:p w14:paraId="1583D0AB"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Nazwa wskaźnika</w:t>
            </w:r>
          </w:p>
        </w:tc>
        <w:tc>
          <w:tcPr>
            <w:tcW w:w="5109" w:type="dxa"/>
            <w:gridSpan w:val="9"/>
            <w:tcBorders>
              <w:top w:val="single" w:sz="12" w:space="0" w:color="auto"/>
              <w:left w:val="single" w:sz="6" w:space="0" w:color="auto"/>
              <w:bottom w:val="single" w:sz="6" w:space="0" w:color="auto"/>
            </w:tcBorders>
            <w:shd w:val="clear" w:color="auto" w:fill="CCC0D9"/>
            <w:vAlign w:val="center"/>
          </w:tcPr>
          <w:p w14:paraId="7CE8F4D4"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Wartość docelowa</w:t>
            </w:r>
          </w:p>
        </w:tc>
      </w:tr>
      <w:tr w:rsidR="00200F48" w:rsidRPr="00200F48" w14:paraId="56A21595" w14:textId="77777777" w:rsidTr="00B81D3B">
        <w:trPr>
          <w:trHeight w:val="567"/>
        </w:trPr>
        <w:tc>
          <w:tcPr>
            <w:tcW w:w="4247" w:type="dxa"/>
            <w:gridSpan w:val="9"/>
            <w:vMerge/>
            <w:tcBorders>
              <w:right w:val="single" w:sz="6" w:space="0" w:color="auto"/>
            </w:tcBorders>
            <w:shd w:val="clear" w:color="auto" w:fill="CCC0D9"/>
            <w:vAlign w:val="center"/>
          </w:tcPr>
          <w:p w14:paraId="382157DB" w14:textId="77777777" w:rsidR="00200F48" w:rsidRPr="00200F48" w:rsidRDefault="00200F48" w:rsidP="00200F48">
            <w:pPr>
              <w:spacing w:before="120" w:after="120" w:line="360" w:lineRule="auto"/>
              <w:rPr>
                <w:rFonts w:ascii="Arial" w:hAnsi="Arial" w:cs="Arial"/>
                <w:sz w:val="24"/>
                <w:szCs w:val="24"/>
              </w:rPr>
            </w:pPr>
          </w:p>
        </w:tc>
        <w:tc>
          <w:tcPr>
            <w:tcW w:w="3119" w:type="dxa"/>
            <w:gridSpan w:val="7"/>
            <w:tcBorders>
              <w:top w:val="single" w:sz="6" w:space="0" w:color="auto"/>
              <w:left w:val="single" w:sz="6" w:space="0" w:color="auto"/>
              <w:bottom w:val="single" w:sz="6" w:space="0" w:color="auto"/>
              <w:right w:val="single" w:sz="6" w:space="0" w:color="auto"/>
            </w:tcBorders>
            <w:shd w:val="clear" w:color="auto" w:fill="CCC0D9"/>
            <w:vAlign w:val="center"/>
          </w:tcPr>
          <w:p w14:paraId="72344439"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W podziale na:</w:t>
            </w:r>
            <w:r w:rsidRPr="00200F48">
              <w:rPr>
                <w:rFonts w:ascii="Arial" w:hAnsi="Arial" w:cs="Arial"/>
                <w:sz w:val="24"/>
                <w:szCs w:val="24"/>
                <w:vertAlign w:val="superscript"/>
              </w:rPr>
              <w:footnoteReference w:id="23"/>
            </w:r>
          </w:p>
        </w:tc>
        <w:tc>
          <w:tcPr>
            <w:tcW w:w="1990" w:type="dxa"/>
            <w:gridSpan w:val="2"/>
            <w:vMerge w:val="restart"/>
            <w:tcBorders>
              <w:top w:val="single" w:sz="6" w:space="0" w:color="auto"/>
              <w:left w:val="single" w:sz="6" w:space="0" w:color="auto"/>
            </w:tcBorders>
            <w:shd w:val="clear" w:color="auto" w:fill="CCC0D9"/>
            <w:vAlign w:val="center"/>
          </w:tcPr>
          <w:p w14:paraId="5A2A2C7A"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Ogółem w projekcie</w:t>
            </w:r>
          </w:p>
          <w:p w14:paraId="1EF92235" w14:textId="77777777" w:rsidR="00200F48" w:rsidRPr="00200F48" w:rsidRDefault="00200F48" w:rsidP="00200F48">
            <w:pPr>
              <w:spacing w:before="120" w:after="120" w:line="360" w:lineRule="auto"/>
              <w:rPr>
                <w:rFonts w:ascii="Arial" w:hAnsi="Arial" w:cs="Arial"/>
                <w:sz w:val="24"/>
                <w:szCs w:val="24"/>
              </w:rPr>
            </w:pPr>
          </w:p>
        </w:tc>
      </w:tr>
      <w:tr w:rsidR="00200F48" w:rsidRPr="00200F48" w14:paraId="6855D297" w14:textId="77777777" w:rsidTr="00B81D3B">
        <w:trPr>
          <w:trHeight w:val="567"/>
        </w:trPr>
        <w:tc>
          <w:tcPr>
            <w:tcW w:w="4247" w:type="dxa"/>
            <w:gridSpan w:val="9"/>
            <w:vMerge/>
            <w:tcBorders>
              <w:bottom w:val="single" w:sz="6" w:space="0" w:color="auto"/>
              <w:right w:val="single" w:sz="6" w:space="0" w:color="auto"/>
            </w:tcBorders>
            <w:shd w:val="clear" w:color="auto" w:fill="CCC0D9"/>
            <w:vAlign w:val="center"/>
          </w:tcPr>
          <w:p w14:paraId="2322D62A" w14:textId="77777777" w:rsidR="00200F48" w:rsidRPr="00200F48" w:rsidRDefault="00200F48" w:rsidP="00200F48">
            <w:pPr>
              <w:spacing w:before="120" w:after="120" w:line="360" w:lineRule="auto"/>
              <w:rPr>
                <w:rFonts w:ascii="Arial" w:hAnsi="Arial" w:cs="Arial"/>
                <w:sz w:val="24"/>
                <w:szCs w:val="24"/>
              </w:rPr>
            </w:pPr>
          </w:p>
        </w:tc>
        <w:tc>
          <w:tcPr>
            <w:tcW w:w="1559" w:type="dxa"/>
            <w:gridSpan w:val="4"/>
            <w:tcBorders>
              <w:top w:val="single" w:sz="6" w:space="0" w:color="auto"/>
              <w:left w:val="single" w:sz="6" w:space="0" w:color="auto"/>
              <w:bottom w:val="single" w:sz="6" w:space="0" w:color="auto"/>
              <w:right w:val="single" w:sz="6" w:space="0" w:color="auto"/>
            </w:tcBorders>
            <w:shd w:val="clear" w:color="auto" w:fill="CCC0D9"/>
            <w:vAlign w:val="center"/>
          </w:tcPr>
          <w:p w14:paraId="0A7EC55B"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3C65DB19"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Mężczyzn</w:t>
            </w:r>
          </w:p>
        </w:tc>
        <w:tc>
          <w:tcPr>
            <w:tcW w:w="1990" w:type="dxa"/>
            <w:gridSpan w:val="2"/>
            <w:vMerge/>
            <w:tcBorders>
              <w:left w:val="single" w:sz="6" w:space="0" w:color="auto"/>
              <w:bottom w:val="single" w:sz="6" w:space="0" w:color="auto"/>
            </w:tcBorders>
            <w:shd w:val="clear" w:color="auto" w:fill="CCC0D9"/>
            <w:vAlign w:val="center"/>
          </w:tcPr>
          <w:p w14:paraId="2A9319E9" w14:textId="77777777" w:rsidR="00200F48" w:rsidRPr="00200F48" w:rsidRDefault="00200F48" w:rsidP="00200F48">
            <w:pPr>
              <w:spacing w:before="120" w:after="120" w:line="360" w:lineRule="auto"/>
              <w:rPr>
                <w:rFonts w:ascii="Arial" w:hAnsi="Arial" w:cs="Arial"/>
                <w:sz w:val="24"/>
                <w:szCs w:val="24"/>
              </w:rPr>
            </w:pPr>
          </w:p>
        </w:tc>
      </w:tr>
      <w:tr w:rsidR="00200F48" w:rsidRPr="00200F48" w14:paraId="4A155169" w14:textId="77777777" w:rsidTr="00B81D3B">
        <w:trPr>
          <w:trHeight w:val="433"/>
        </w:trPr>
        <w:tc>
          <w:tcPr>
            <w:tcW w:w="4247" w:type="dxa"/>
            <w:gridSpan w:val="9"/>
            <w:tcBorders>
              <w:top w:val="single" w:sz="6" w:space="0" w:color="auto"/>
              <w:bottom w:val="single" w:sz="6" w:space="0" w:color="auto"/>
              <w:right w:val="single" w:sz="6" w:space="0" w:color="auto"/>
            </w:tcBorders>
            <w:shd w:val="clear" w:color="auto" w:fill="FFFFFF"/>
            <w:vAlign w:val="center"/>
          </w:tcPr>
          <w:p w14:paraId="3F7CC79E" w14:textId="77777777" w:rsidR="00200F48" w:rsidRPr="00200F48" w:rsidRDefault="00200F48" w:rsidP="00200F48">
            <w:pPr>
              <w:tabs>
                <w:tab w:val="left" w:pos="0"/>
                <w:tab w:val="left" w:pos="34"/>
              </w:tabs>
              <w:spacing w:before="120" w:after="120" w:line="360" w:lineRule="auto"/>
              <w:rPr>
                <w:rFonts w:ascii="Arial" w:hAnsi="Arial" w:cs="Arial"/>
                <w:i/>
                <w:sz w:val="24"/>
                <w:szCs w:val="24"/>
              </w:rPr>
            </w:pPr>
            <w:r w:rsidRPr="00200F48">
              <w:rPr>
                <w:rFonts w:ascii="Arial" w:hAnsi="Arial" w:cs="Arial"/>
                <w:i/>
                <w:sz w:val="24"/>
                <w:szCs w:val="24"/>
              </w:rPr>
              <w:t xml:space="preserve">Liczba pracowników wymiaru sprawiedliwości, którzy podnieśli </w:t>
            </w:r>
            <w:r w:rsidRPr="00200F48">
              <w:rPr>
                <w:rFonts w:ascii="Arial" w:hAnsi="Arial" w:cs="Arial"/>
                <w:i/>
                <w:sz w:val="24"/>
                <w:szCs w:val="24"/>
              </w:rPr>
              <w:lastRenderedPageBreak/>
              <w:t>kompetencje w zakresie prawa cywilnego i gospodarczego</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102CD4B" w14:textId="77777777" w:rsidR="00200F48" w:rsidRPr="00200F48" w:rsidRDefault="00200F48" w:rsidP="00200F48">
            <w:pPr>
              <w:spacing w:before="120" w:after="120" w:line="360" w:lineRule="auto"/>
              <w:rPr>
                <w:rFonts w:ascii="Arial" w:hAnsi="Arial" w:cs="Arial"/>
                <w:sz w:val="24"/>
                <w:szCs w:val="24"/>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38A885E" w14:textId="77777777" w:rsidR="00200F48" w:rsidRPr="00200F48" w:rsidRDefault="00200F48" w:rsidP="00200F48">
            <w:pPr>
              <w:spacing w:before="120" w:after="120" w:line="360" w:lineRule="auto"/>
              <w:rPr>
                <w:rFonts w:ascii="Arial" w:hAnsi="Arial" w:cs="Arial"/>
                <w:sz w:val="24"/>
                <w:szCs w:val="24"/>
              </w:rPr>
            </w:pPr>
          </w:p>
        </w:tc>
        <w:tc>
          <w:tcPr>
            <w:tcW w:w="1990" w:type="dxa"/>
            <w:gridSpan w:val="2"/>
            <w:tcBorders>
              <w:top w:val="single" w:sz="6" w:space="0" w:color="auto"/>
              <w:left w:val="single" w:sz="6" w:space="0" w:color="auto"/>
              <w:bottom w:val="single" w:sz="6" w:space="0" w:color="auto"/>
            </w:tcBorders>
            <w:shd w:val="clear" w:color="auto" w:fill="FFFFFF"/>
            <w:vAlign w:val="center"/>
          </w:tcPr>
          <w:p w14:paraId="049E5AFD"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720</w:t>
            </w:r>
          </w:p>
        </w:tc>
      </w:tr>
      <w:tr w:rsidR="00200F48" w:rsidRPr="00200F48" w14:paraId="077623A8" w14:textId="77777777" w:rsidTr="00B81D3B">
        <w:trPr>
          <w:trHeight w:val="567"/>
        </w:trPr>
        <w:tc>
          <w:tcPr>
            <w:tcW w:w="9356" w:type="dxa"/>
            <w:gridSpan w:val="18"/>
            <w:tcBorders>
              <w:top w:val="single" w:sz="12" w:space="0" w:color="auto"/>
              <w:bottom w:val="single" w:sz="12" w:space="0" w:color="auto"/>
            </w:tcBorders>
            <w:shd w:val="clear" w:color="auto" w:fill="CCC0D9"/>
            <w:vAlign w:val="center"/>
          </w:tcPr>
          <w:p w14:paraId="2EE0F725" w14:textId="77777777" w:rsidR="00200F48" w:rsidRPr="00200F48" w:rsidRDefault="00200F48" w:rsidP="00200F48">
            <w:pPr>
              <w:spacing w:before="120" w:after="120" w:line="360" w:lineRule="auto"/>
              <w:ind w:left="57"/>
              <w:rPr>
                <w:rFonts w:ascii="Arial" w:hAnsi="Arial" w:cs="Arial"/>
                <w:b/>
                <w:sz w:val="24"/>
                <w:szCs w:val="24"/>
              </w:rPr>
            </w:pPr>
            <w:r w:rsidRPr="00200F48">
              <w:rPr>
                <w:rFonts w:ascii="Arial" w:hAnsi="Arial" w:cs="Arial"/>
                <w:b/>
                <w:sz w:val="24"/>
                <w:szCs w:val="24"/>
              </w:rPr>
              <w:lastRenderedPageBreak/>
              <w:t>WSKAŹNIKI PRODUKTU</w:t>
            </w:r>
          </w:p>
        </w:tc>
      </w:tr>
      <w:tr w:rsidR="00200F48" w:rsidRPr="00200F48" w14:paraId="54763621" w14:textId="77777777" w:rsidTr="00B81D3B">
        <w:trPr>
          <w:trHeight w:val="567"/>
        </w:trPr>
        <w:tc>
          <w:tcPr>
            <w:tcW w:w="4247" w:type="dxa"/>
            <w:gridSpan w:val="9"/>
            <w:vMerge w:val="restart"/>
            <w:tcBorders>
              <w:top w:val="single" w:sz="12" w:space="0" w:color="auto"/>
              <w:left w:val="single" w:sz="12" w:space="0" w:color="auto"/>
              <w:right w:val="single" w:sz="6" w:space="0" w:color="auto"/>
            </w:tcBorders>
            <w:shd w:val="clear" w:color="auto" w:fill="CCC0D9"/>
            <w:vAlign w:val="center"/>
          </w:tcPr>
          <w:p w14:paraId="5A429602"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Nazwa wskaźnika</w:t>
            </w:r>
          </w:p>
        </w:tc>
        <w:tc>
          <w:tcPr>
            <w:tcW w:w="5109" w:type="dxa"/>
            <w:gridSpan w:val="9"/>
            <w:tcBorders>
              <w:top w:val="single" w:sz="12" w:space="0" w:color="auto"/>
              <w:left w:val="single" w:sz="6" w:space="0" w:color="auto"/>
              <w:bottom w:val="single" w:sz="6" w:space="0" w:color="auto"/>
              <w:right w:val="single" w:sz="12" w:space="0" w:color="auto"/>
            </w:tcBorders>
            <w:shd w:val="clear" w:color="auto" w:fill="CCC0D9"/>
            <w:vAlign w:val="center"/>
          </w:tcPr>
          <w:p w14:paraId="4781AA7C"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Wartość docelowa</w:t>
            </w:r>
          </w:p>
        </w:tc>
      </w:tr>
      <w:tr w:rsidR="00200F48" w:rsidRPr="00200F48" w14:paraId="03F3F65A" w14:textId="77777777" w:rsidTr="00B81D3B">
        <w:trPr>
          <w:trHeight w:val="567"/>
        </w:trPr>
        <w:tc>
          <w:tcPr>
            <w:tcW w:w="4247" w:type="dxa"/>
            <w:gridSpan w:val="9"/>
            <w:vMerge/>
            <w:tcBorders>
              <w:left w:val="single" w:sz="12" w:space="0" w:color="auto"/>
              <w:right w:val="single" w:sz="6" w:space="0" w:color="auto"/>
            </w:tcBorders>
            <w:shd w:val="clear" w:color="auto" w:fill="CCC0D9"/>
            <w:vAlign w:val="center"/>
          </w:tcPr>
          <w:p w14:paraId="56077D15" w14:textId="77777777" w:rsidR="00200F48" w:rsidRPr="00200F48" w:rsidRDefault="00200F48" w:rsidP="00200F48">
            <w:pPr>
              <w:spacing w:before="120" w:after="120" w:line="360" w:lineRule="auto"/>
              <w:ind w:left="57"/>
              <w:rPr>
                <w:rFonts w:ascii="Arial" w:hAnsi="Arial" w:cs="Arial"/>
                <w:b/>
                <w:sz w:val="24"/>
                <w:szCs w:val="24"/>
              </w:rPr>
            </w:pPr>
          </w:p>
        </w:tc>
        <w:tc>
          <w:tcPr>
            <w:tcW w:w="3119" w:type="dxa"/>
            <w:gridSpan w:val="7"/>
            <w:tcBorders>
              <w:top w:val="single" w:sz="6" w:space="0" w:color="auto"/>
              <w:left w:val="single" w:sz="6" w:space="0" w:color="auto"/>
              <w:bottom w:val="single" w:sz="6" w:space="0" w:color="auto"/>
              <w:right w:val="single" w:sz="6" w:space="0" w:color="auto"/>
            </w:tcBorders>
            <w:shd w:val="clear" w:color="auto" w:fill="CCC0D9"/>
            <w:vAlign w:val="center"/>
          </w:tcPr>
          <w:p w14:paraId="78567A73"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W podziale na:</w:t>
            </w:r>
            <w:r w:rsidRPr="00200F48">
              <w:rPr>
                <w:rFonts w:ascii="Arial" w:hAnsi="Arial" w:cs="Arial"/>
                <w:sz w:val="24"/>
                <w:szCs w:val="24"/>
                <w:vertAlign w:val="superscript"/>
              </w:rPr>
              <w:footnoteReference w:id="24"/>
            </w:r>
          </w:p>
        </w:tc>
        <w:tc>
          <w:tcPr>
            <w:tcW w:w="1990" w:type="dxa"/>
            <w:gridSpan w:val="2"/>
            <w:vMerge w:val="restart"/>
            <w:tcBorders>
              <w:top w:val="single" w:sz="6" w:space="0" w:color="auto"/>
              <w:left w:val="single" w:sz="6" w:space="0" w:color="auto"/>
              <w:right w:val="single" w:sz="12" w:space="0" w:color="auto"/>
            </w:tcBorders>
            <w:shd w:val="clear" w:color="auto" w:fill="CCC0D9"/>
            <w:vAlign w:val="center"/>
          </w:tcPr>
          <w:p w14:paraId="28A4763B"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Ogółem w projekcie</w:t>
            </w:r>
          </w:p>
          <w:p w14:paraId="48587100" w14:textId="77777777" w:rsidR="00200F48" w:rsidRPr="00200F48" w:rsidRDefault="00200F48" w:rsidP="00200F48">
            <w:pPr>
              <w:spacing w:before="120" w:after="120" w:line="360" w:lineRule="auto"/>
              <w:rPr>
                <w:rFonts w:ascii="Arial" w:hAnsi="Arial" w:cs="Arial"/>
                <w:sz w:val="24"/>
                <w:szCs w:val="24"/>
              </w:rPr>
            </w:pPr>
          </w:p>
        </w:tc>
      </w:tr>
      <w:tr w:rsidR="00200F48" w:rsidRPr="00200F48" w14:paraId="2B80A7D5" w14:textId="77777777" w:rsidTr="00B81D3B">
        <w:trPr>
          <w:trHeight w:val="567"/>
        </w:trPr>
        <w:tc>
          <w:tcPr>
            <w:tcW w:w="4247" w:type="dxa"/>
            <w:gridSpan w:val="9"/>
            <w:vMerge/>
            <w:tcBorders>
              <w:left w:val="single" w:sz="12" w:space="0" w:color="auto"/>
              <w:bottom w:val="single" w:sz="6" w:space="0" w:color="auto"/>
              <w:right w:val="single" w:sz="6" w:space="0" w:color="auto"/>
            </w:tcBorders>
            <w:shd w:val="clear" w:color="auto" w:fill="CCC0D9"/>
            <w:vAlign w:val="center"/>
          </w:tcPr>
          <w:p w14:paraId="413E9D02" w14:textId="77777777" w:rsidR="00200F48" w:rsidRPr="00200F48" w:rsidRDefault="00200F48" w:rsidP="00200F48">
            <w:pPr>
              <w:spacing w:before="120" w:after="120" w:line="360" w:lineRule="auto"/>
              <w:ind w:left="57"/>
              <w:rPr>
                <w:rFonts w:ascii="Arial" w:hAnsi="Arial" w:cs="Arial"/>
                <w:b/>
                <w:sz w:val="24"/>
                <w:szCs w:val="24"/>
              </w:rPr>
            </w:pPr>
          </w:p>
        </w:tc>
        <w:tc>
          <w:tcPr>
            <w:tcW w:w="1559" w:type="dxa"/>
            <w:gridSpan w:val="4"/>
            <w:tcBorders>
              <w:top w:val="single" w:sz="6" w:space="0" w:color="auto"/>
              <w:left w:val="single" w:sz="6" w:space="0" w:color="auto"/>
              <w:bottom w:val="single" w:sz="6" w:space="0" w:color="auto"/>
              <w:right w:val="single" w:sz="6" w:space="0" w:color="auto"/>
            </w:tcBorders>
            <w:shd w:val="clear" w:color="auto" w:fill="CCC0D9"/>
            <w:vAlign w:val="center"/>
          </w:tcPr>
          <w:p w14:paraId="1A1A260D"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CCC0D9"/>
            <w:vAlign w:val="center"/>
          </w:tcPr>
          <w:p w14:paraId="78328FC5"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Mężczyzn</w:t>
            </w:r>
          </w:p>
        </w:tc>
        <w:tc>
          <w:tcPr>
            <w:tcW w:w="1990" w:type="dxa"/>
            <w:gridSpan w:val="2"/>
            <w:vMerge/>
            <w:tcBorders>
              <w:left w:val="single" w:sz="6" w:space="0" w:color="auto"/>
              <w:bottom w:val="single" w:sz="6" w:space="0" w:color="auto"/>
              <w:right w:val="single" w:sz="12" w:space="0" w:color="auto"/>
            </w:tcBorders>
            <w:shd w:val="clear" w:color="auto" w:fill="CCC0D9"/>
            <w:vAlign w:val="center"/>
          </w:tcPr>
          <w:p w14:paraId="46C26A9B" w14:textId="77777777" w:rsidR="00200F48" w:rsidRPr="00200F48" w:rsidRDefault="00200F48" w:rsidP="00200F48">
            <w:pPr>
              <w:spacing w:before="120" w:after="120" w:line="360" w:lineRule="auto"/>
              <w:rPr>
                <w:rFonts w:ascii="Arial" w:hAnsi="Arial" w:cs="Arial"/>
                <w:sz w:val="24"/>
                <w:szCs w:val="24"/>
              </w:rPr>
            </w:pPr>
          </w:p>
        </w:tc>
      </w:tr>
      <w:tr w:rsidR="00200F48" w:rsidRPr="00200F48" w14:paraId="07370468" w14:textId="77777777" w:rsidTr="00B81D3B">
        <w:trPr>
          <w:trHeight w:val="417"/>
        </w:trPr>
        <w:tc>
          <w:tcPr>
            <w:tcW w:w="4247" w:type="dxa"/>
            <w:gridSpan w:val="9"/>
            <w:tcBorders>
              <w:top w:val="single" w:sz="6" w:space="0" w:color="auto"/>
              <w:left w:val="single" w:sz="12" w:space="0" w:color="auto"/>
              <w:bottom w:val="single" w:sz="6" w:space="0" w:color="auto"/>
              <w:right w:val="single" w:sz="6" w:space="0" w:color="auto"/>
            </w:tcBorders>
            <w:shd w:val="clear" w:color="auto" w:fill="FFFFFF"/>
            <w:vAlign w:val="center"/>
          </w:tcPr>
          <w:p w14:paraId="01B362F6" w14:textId="77777777" w:rsidR="00200F48" w:rsidRPr="00200F48" w:rsidRDefault="00200F48" w:rsidP="00200F48">
            <w:pPr>
              <w:tabs>
                <w:tab w:val="left" w:pos="0"/>
                <w:tab w:val="left" w:pos="34"/>
              </w:tabs>
              <w:spacing w:before="120" w:after="120" w:line="360" w:lineRule="auto"/>
              <w:ind w:right="34"/>
              <w:rPr>
                <w:rFonts w:ascii="Arial" w:hAnsi="Arial" w:cs="Arial"/>
                <w:i/>
                <w:sz w:val="24"/>
                <w:szCs w:val="24"/>
              </w:rPr>
            </w:pPr>
            <w:r w:rsidRPr="00200F48">
              <w:rPr>
                <w:rFonts w:ascii="Arial" w:hAnsi="Arial" w:cs="Arial"/>
                <w:i/>
                <w:sz w:val="24"/>
                <w:szCs w:val="24"/>
              </w:rPr>
              <w:t>Liczba pracowników wymiaru sprawiedliwości, objętych wsparciem szkoleniowym w zakresie prawa cywilnego i gospodarczego</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9E81CE8" w14:textId="77777777" w:rsidR="00200F48" w:rsidRPr="00200F48" w:rsidRDefault="00200F48" w:rsidP="00200F48">
            <w:pPr>
              <w:spacing w:before="120" w:after="120" w:line="360" w:lineRule="auto"/>
              <w:rPr>
                <w:rFonts w:ascii="Arial" w:hAnsi="Arial" w:cs="Arial"/>
                <w:sz w:val="24"/>
                <w:szCs w:val="24"/>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8A9CA33" w14:textId="77777777" w:rsidR="00200F48" w:rsidRPr="00200F48" w:rsidRDefault="00200F48" w:rsidP="00200F48">
            <w:pPr>
              <w:spacing w:before="120" w:after="120" w:line="360" w:lineRule="auto"/>
              <w:rPr>
                <w:rFonts w:ascii="Arial" w:hAnsi="Arial" w:cs="Arial"/>
                <w:sz w:val="24"/>
                <w:szCs w:val="24"/>
              </w:rPr>
            </w:pPr>
          </w:p>
        </w:tc>
        <w:tc>
          <w:tcPr>
            <w:tcW w:w="1990"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64BECFCE"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800</w:t>
            </w:r>
          </w:p>
        </w:tc>
      </w:tr>
      <w:tr w:rsidR="00200F48" w:rsidRPr="00200F48" w14:paraId="50AF6F5D" w14:textId="77777777" w:rsidTr="00B81D3B">
        <w:trPr>
          <w:trHeight w:val="495"/>
        </w:trPr>
        <w:tc>
          <w:tcPr>
            <w:tcW w:w="4247" w:type="dxa"/>
            <w:gridSpan w:val="9"/>
            <w:tcBorders>
              <w:top w:val="single" w:sz="6" w:space="0" w:color="auto"/>
              <w:left w:val="single" w:sz="12" w:space="0" w:color="auto"/>
              <w:bottom w:val="single" w:sz="6" w:space="0" w:color="auto"/>
              <w:right w:val="single" w:sz="6" w:space="0" w:color="auto"/>
            </w:tcBorders>
            <w:shd w:val="clear" w:color="auto" w:fill="FFFFFF"/>
            <w:vAlign w:val="center"/>
          </w:tcPr>
          <w:p w14:paraId="64B0B2D7" w14:textId="77777777" w:rsidR="00200F48" w:rsidRPr="00200F48" w:rsidRDefault="00200F48" w:rsidP="00200F48">
            <w:pPr>
              <w:tabs>
                <w:tab w:val="left" w:pos="0"/>
                <w:tab w:val="left" w:pos="34"/>
              </w:tabs>
              <w:spacing w:before="120" w:after="120" w:line="360" w:lineRule="auto"/>
              <w:ind w:right="34"/>
              <w:rPr>
                <w:rFonts w:ascii="Arial" w:hAnsi="Arial" w:cs="Arial"/>
                <w:i/>
                <w:sz w:val="24"/>
                <w:szCs w:val="24"/>
              </w:rPr>
            </w:pPr>
            <w:r w:rsidRPr="00200F48">
              <w:rPr>
                <w:rFonts w:ascii="Arial" w:hAnsi="Arial" w:cs="Arial"/>
                <w:i/>
                <w:sz w:val="24"/>
                <w:szCs w:val="24"/>
              </w:rPr>
              <w:t>Liczba opracowanych programów szkoleniowych</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9C9D09F" w14:textId="77777777" w:rsidR="00200F48" w:rsidRPr="00200F48" w:rsidRDefault="00200F48" w:rsidP="00200F48">
            <w:pPr>
              <w:spacing w:before="120" w:after="120" w:line="360" w:lineRule="auto"/>
              <w:rPr>
                <w:rFonts w:ascii="Arial" w:hAnsi="Arial" w:cs="Arial"/>
                <w:sz w:val="24"/>
                <w:szCs w:val="24"/>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E5560E3" w14:textId="77777777" w:rsidR="00200F48" w:rsidRPr="00200F48" w:rsidRDefault="00200F48" w:rsidP="00200F48">
            <w:pPr>
              <w:spacing w:before="120" w:after="120" w:line="360" w:lineRule="auto"/>
              <w:rPr>
                <w:rFonts w:ascii="Arial" w:hAnsi="Arial" w:cs="Arial"/>
                <w:sz w:val="24"/>
                <w:szCs w:val="24"/>
              </w:rPr>
            </w:pPr>
          </w:p>
        </w:tc>
        <w:tc>
          <w:tcPr>
            <w:tcW w:w="1990"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2C72F1B5"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1</w:t>
            </w:r>
          </w:p>
        </w:tc>
      </w:tr>
      <w:tr w:rsidR="00200F48" w:rsidRPr="00200F48" w14:paraId="4C74949E" w14:textId="77777777" w:rsidTr="00B81D3B">
        <w:trPr>
          <w:trHeight w:val="403"/>
        </w:trPr>
        <w:tc>
          <w:tcPr>
            <w:tcW w:w="4247" w:type="dxa"/>
            <w:gridSpan w:val="9"/>
            <w:tcBorders>
              <w:top w:val="single" w:sz="6" w:space="0" w:color="auto"/>
              <w:left w:val="single" w:sz="12" w:space="0" w:color="auto"/>
              <w:bottom w:val="single" w:sz="6" w:space="0" w:color="auto"/>
              <w:right w:val="single" w:sz="6" w:space="0" w:color="auto"/>
            </w:tcBorders>
            <w:shd w:val="clear" w:color="auto" w:fill="FFFFFF"/>
            <w:vAlign w:val="center"/>
          </w:tcPr>
          <w:p w14:paraId="75502EFB" w14:textId="77777777" w:rsidR="00200F48" w:rsidRPr="00200F48" w:rsidRDefault="00200F48" w:rsidP="00200F48">
            <w:pPr>
              <w:tabs>
                <w:tab w:val="left" w:pos="318"/>
              </w:tabs>
              <w:spacing w:before="120" w:after="120" w:line="360" w:lineRule="auto"/>
              <w:ind w:right="1451"/>
              <w:rPr>
                <w:rFonts w:ascii="Arial" w:hAnsi="Arial" w:cs="Arial"/>
                <w:i/>
                <w:sz w:val="24"/>
                <w:szCs w:val="24"/>
              </w:rPr>
            </w:pPr>
            <w:r w:rsidRPr="00200F48">
              <w:rPr>
                <w:rFonts w:ascii="Arial" w:hAnsi="Arial" w:cs="Arial"/>
                <w:i/>
                <w:sz w:val="24"/>
                <w:szCs w:val="24"/>
              </w:rPr>
              <w:t>Liczba opracowanych szkoleń e-learningowych</w:t>
            </w:r>
          </w:p>
        </w:tc>
        <w:tc>
          <w:tcPr>
            <w:tcW w:w="155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027381D" w14:textId="77777777" w:rsidR="00200F48" w:rsidRPr="00200F48" w:rsidRDefault="00200F48" w:rsidP="00200F48">
            <w:pPr>
              <w:spacing w:before="120" w:after="120" w:line="360" w:lineRule="auto"/>
              <w:rPr>
                <w:rFonts w:ascii="Arial" w:hAnsi="Arial" w:cs="Arial"/>
                <w:sz w:val="24"/>
                <w:szCs w:val="24"/>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BA07DCA" w14:textId="77777777" w:rsidR="00200F48" w:rsidRPr="00200F48" w:rsidRDefault="00200F48" w:rsidP="00200F48">
            <w:pPr>
              <w:spacing w:before="120" w:after="120" w:line="360" w:lineRule="auto"/>
              <w:rPr>
                <w:rFonts w:ascii="Arial" w:hAnsi="Arial" w:cs="Arial"/>
                <w:sz w:val="24"/>
                <w:szCs w:val="24"/>
              </w:rPr>
            </w:pPr>
          </w:p>
        </w:tc>
        <w:tc>
          <w:tcPr>
            <w:tcW w:w="1990"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77066C45"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t>1</w:t>
            </w:r>
          </w:p>
        </w:tc>
      </w:tr>
      <w:tr w:rsidR="00200F48" w:rsidRPr="00200F48" w14:paraId="688770F3" w14:textId="77777777" w:rsidTr="00B81D3B">
        <w:trPr>
          <w:trHeight w:val="567"/>
        </w:trPr>
        <w:tc>
          <w:tcPr>
            <w:tcW w:w="9356" w:type="dxa"/>
            <w:gridSpan w:val="18"/>
            <w:tcBorders>
              <w:top w:val="single" w:sz="12" w:space="0" w:color="auto"/>
              <w:bottom w:val="single" w:sz="12" w:space="0" w:color="auto"/>
            </w:tcBorders>
            <w:shd w:val="clear" w:color="auto" w:fill="CCC0D9"/>
            <w:vAlign w:val="center"/>
          </w:tcPr>
          <w:p w14:paraId="2F764D7D" w14:textId="77777777" w:rsidR="00200F48" w:rsidRPr="00200F48" w:rsidRDefault="00200F48" w:rsidP="00200F48">
            <w:pPr>
              <w:spacing w:before="120" w:after="120" w:line="360" w:lineRule="auto"/>
              <w:ind w:left="57"/>
              <w:rPr>
                <w:rFonts w:ascii="Arial" w:hAnsi="Arial" w:cs="Arial"/>
                <w:b/>
                <w:sz w:val="24"/>
                <w:szCs w:val="24"/>
              </w:rPr>
            </w:pPr>
            <w:r w:rsidRPr="00200F48">
              <w:rPr>
                <w:rFonts w:ascii="Arial" w:hAnsi="Arial" w:cs="Arial"/>
                <w:b/>
                <w:sz w:val="24"/>
                <w:szCs w:val="24"/>
              </w:rPr>
              <w:t>SZCZEGÓŁOWE KRYTERIA WYBORU PROJEKTU</w:t>
            </w:r>
          </w:p>
        </w:tc>
      </w:tr>
      <w:tr w:rsidR="00200F48" w:rsidRPr="00200F48" w14:paraId="707CC1DF" w14:textId="77777777" w:rsidTr="00B81D3B">
        <w:trPr>
          <w:trHeight w:val="567"/>
        </w:trPr>
        <w:tc>
          <w:tcPr>
            <w:tcW w:w="9356" w:type="dxa"/>
            <w:gridSpan w:val="18"/>
            <w:tcBorders>
              <w:top w:val="single" w:sz="12" w:space="0" w:color="auto"/>
              <w:bottom w:val="single" w:sz="12" w:space="0" w:color="auto"/>
            </w:tcBorders>
            <w:shd w:val="clear" w:color="auto" w:fill="CCC0D9"/>
            <w:vAlign w:val="center"/>
          </w:tcPr>
          <w:p w14:paraId="2F05117D" w14:textId="77777777" w:rsidR="00200F48" w:rsidRPr="00200F48" w:rsidRDefault="00200F48" w:rsidP="00200F48">
            <w:pPr>
              <w:spacing w:before="120" w:after="120" w:line="360" w:lineRule="auto"/>
              <w:ind w:left="57"/>
              <w:rPr>
                <w:rFonts w:ascii="Arial" w:hAnsi="Arial" w:cs="Arial"/>
                <w:b/>
                <w:sz w:val="24"/>
                <w:szCs w:val="24"/>
              </w:rPr>
            </w:pPr>
            <w:r w:rsidRPr="00200F48">
              <w:rPr>
                <w:rFonts w:ascii="Arial" w:hAnsi="Arial" w:cs="Arial"/>
                <w:b/>
                <w:sz w:val="24"/>
                <w:szCs w:val="24"/>
              </w:rPr>
              <w:t>KRYTERIA DOSTĘPU</w:t>
            </w:r>
          </w:p>
        </w:tc>
      </w:tr>
      <w:tr w:rsidR="00200F48" w:rsidRPr="00200F48" w14:paraId="49923FBF" w14:textId="77777777" w:rsidTr="00B81D3B">
        <w:trPr>
          <w:trHeight w:val="412"/>
        </w:trPr>
        <w:tc>
          <w:tcPr>
            <w:tcW w:w="9356" w:type="dxa"/>
            <w:gridSpan w:val="18"/>
            <w:tcBorders>
              <w:top w:val="single" w:sz="12" w:space="0" w:color="auto"/>
              <w:bottom w:val="single" w:sz="2" w:space="0" w:color="auto"/>
            </w:tcBorders>
            <w:shd w:val="clear" w:color="auto" w:fill="FFFFFF"/>
            <w:vAlign w:val="center"/>
          </w:tcPr>
          <w:p w14:paraId="7D268391" w14:textId="77777777" w:rsidR="00200F48" w:rsidRPr="00200F48" w:rsidRDefault="00200F48" w:rsidP="00200F48">
            <w:pPr>
              <w:spacing w:before="120" w:after="120" w:line="360" w:lineRule="auto"/>
              <w:ind w:left="57"/>
              <w:rPr>
                <w:rFonts w:ascii="Arial" w:hAnsi="Arial" w:cs="Arial"/>
                <w:b/>
                <w:sz w:val="24"/>
                <w:szCs w:val="24"/>
              </w:rPr>
            </w:pPr>
            <w:r w:rsidRPr="00200F48">
              <w:rPr>
                <w:rFonts w:ascii="Arial" w:hAnsi="Arial" w:cs="Arial"/>
                <w:b/>
                <w:sz w:val="24"/>
                <w:szCs w:val="24"/>
              </w:rPr>
              <w:t>Nie dotyczy</w:t>
            </w:r>
          </w:p>
        </w:tc>
      </w:tr>
      <w:tr w:rsidR="00200F48" w:rsidRPr="00200F48" w14:paraId="6E9635D0" w14:textId="77777777" w:rsidTr="00B81D3B">
        <w:trPr>
          <w:trHeight w:val="567"/>
        </w:trPr>
        <w:tc>
          <w:tcPr>
            <w:tcW w:w="1697" w:type="dxa"/>
            <w:gridSpan w:val="2"/>
            <w:tcBorders>
              <w:top w:val="single" w:sz="6" w:space="0" w:color="auto"/>
              <w:bottom w:val="single" w:sz="2" w:space="0" w:color="auto"/>
            </w:tcBorders>
            <w:shd w:val="clear" w:color="auto" w:fill="CCC0D9"/>
            <w:vAlign w:val="center"/>
          </w:tcPr>
          <w:p w14:paraId="0AA455C9" w14:textId="77777777" w:rsidR="00200F48" w:rsidRPr="00200F48" w:rsidRDefault="00200F48" w:rsidP="00200F48">
            <w:pPr>
              <w:spacing w:before="120" w:after="120" w:line="360" w:lineRule="auto"/>
              <w:ind w:left="57"/>
              <w:rPr>
                <w:rFonts w:ascii="Arial" w:hAnsi="Arial" w:cs="Arial"/>
                <w:b/>
                <w:sz w:val="24"/>
                <w:szCs w:val="24"/>
              </w:rPr>
            </w:pPr>
            <w:r w:rsidRPr="00200F48">
              <w:rPr>
                <w:rFonts w:ascii="Arial" w:hAnsi="Arial" w:cs="Arial"/>
                <w:sz w:val="24"/>
                <w:szCs w:val="24"/>
              </w:rPr>
              <w:t>Uzasadnienie:</w:t>
            </w:r>
          </w:p>
        </w:tc>
        <w:tc>
          <w:tcPr>
            <w:tcW w:w="7659" w:type="dxa"/>
            <w:gridSpan w:val="16"/>
            <w:tcBorders>
              <w:top w:val="single" w:sz="6" w:space="0" w:color="auto"/>
              <w:bottom w:val="single" w:sz="2" w:space="0" w:color="auto"/>
            </w:tcBorders>
            <w:shd w:val="clear" w:color="auto" w:fill="FFFFFF"/>
            <w:vAlign w:val="center"/>
          </w:tcPr>
          <w:p w14:paraId="5D7BB9DD" w14:textId="77777777" w:rsidR="00200F48" w:rsidRPr="00200F48" w:rsidRDefault="00200F48" w:rsidP="00200F48">
            <w:pPr>
              <w:spacing w:before="120" w:after="120" w:line="360" w:lineRule="auto"/>
              <w:ind w:left="57"/>
              <w:rPr>
                <w:rFonts w:ascii="Arial" w:hAnsi="Arial" w:cs="Arial"/>
                <w:b/>
                <w:sz w:val="24"/>
                <w:szCs w:val="24"/>
              </w:rPr>
            </w:pPr>
          </w:p>
        </w:tc>
      </w:tr>
      <w:tr w:rsidR="00200F48" w:rsidRPr="00200F48" w14:paraId="4BD69677" w14:textId="77777777" w:rsidTr="00B81D3B">
        <w:trPr>
          <w:trHeight w:val="387"/>
        </w:trPr>
        <w:tc>
          <w:tcPr>
            <w:tcW w:w="9356" w:type="dxa"/>
            <w:gridSpan w:val="18"/>
            <w:tcBorders>
              <w:top w:val="single" w:sz="6" w:space="0" w:color="auto"/>
              <w:bottom w:val="single" w:sz="2" w:space="0" w:color="auto"/>
            </w:tcBorders>
            <w:shd w:val="clear" w:color="auto" w:fill="FFFFFF"/>
            <w:vAlign w:val="center"/>
          </w:tcPr>
          <w:p w14:paraId="139B674C" w14:textId="77777777" w:rsidR="00200F48" w:rsidRPr="00200F48" w:rsidRDefault="00200F48" w:rsidP="00200F48">
            <w:pPr>
              <w:spacing w:before="120" w:after="120" w:line="360" w:lineRule="auto"/>
              <w:ind w:left="417"/>
              <w:rPr>
                <w:rFonts w:ascii="Arial" w:hAnsi="Arial" w:cs="Arial"/>
                <w:b/>
                <w:sz w:val="24"/>
                <w:szCs w:val="24"/>
              </w:rPr>
            </w:pPr>
          </w:p>
        </w:tc>
      </w:tr>
      <w:tr w:rsidR="00200F48" w:rsidRPr="00200F48" w14:paraId="28362D30" w14:textId="77777777" w:rsidTr="00B81D3B">
        <w:trPr>
          <w:trHeight w:val="567"/>
        </w:trPr>
        <w:tc>
          <w:tcPr>
            <w:tcW w:w="1697" w:type="dxa"/>
            <w:gridSpan w:val="2"/>
            <w:tcBorders>
              <w:top w:val="single" w:sz="6" w:space="0" w:color="auto"/>
              <w:bottom w:val="single" w:sz="2" w:space="0" w:color="auto"/>
            </w:tcBorders>
            <w:shd w:val="clear" w:color="auto" w:fill="CCC0D9"/>
            <w:vAlign w:val="center"/>
          </w:tcPr>
          <w:p w14:paraId="0257347E" w14:textId="77777777" w:rsidR="00200F48" w:rsidRPr="00200F48" w:rsidRDefault="00200F48" w:rsidP="00200F48">
            <w:pPr>
              <w:spacing w:before="120" w:after="120" w:line="360" w:lineRule="auto"/>
              <w:ind w:left="57"/>
              <w:rPr>
                <w:rFonts w:ascii="Arial" w:hAnsi="Arial" w:cs="Arial"/>
                <w:b/>
                <w:sz w:val="24"/>
                <w:szCs w:val="24"/>
              </w:rPr>
            </w:pPr>
            <w:r w:rsidRPr="00200F48">
              <w:rPr>
                <w:rFonts w:ascii="Arial" w:hAnsi="Arial" w:cs="Arial"/>
                <w:sz w:val="24"/>
                <w:szCs w:val="24"/>
              </w:rPr>
              <w:t>Uzasadnienie:</w:t>
            </w:r>
          </w:p>
        </w:tc>
        <w:tc>
          <w:tcPr>
            <w:tcW w:w="7659" w:type="dxa"/>
            <w:gridSpan w:val="16"/>
            <w:tcBorders>
              <w:top w:val="single" w:sz="6" w:space="0" w:color="auto"/>
              <w:bottom w:val="single" w:sz="2" w:space="0" w:color="auto"/>
            </w:tcBorders>
            <w:shd w:val="clear" w:color="auto" w:fill="FFFFFF"/>
            <w:vAlign w:val="center"/>
          </w:tcPr>
          <w:p w14:paraId="66857068" w14:textId="77777777" w:rsidR="00200F48" w:rsidRPr="00200F48" w:rsidRDefault="00200F48" w:rsidP="00200F48">
            <w:pPr>
              <w:spacing w:before="120" w:after="120" w:line="360" w:lineRule="auto"/>
              <w:ind w:left="57"/>
              <w:rPr>
                <w:rFonts w:ascii="Arial" w:hAnsi="Arial" w:cs="Arial"/>
                <w:b/>
                <w:sz w:val="24"/>
                <w:szCs w:val="24"/>
              </w:rPr>
            </w:pPr>
          </w:p>
        </w:tc>
      </w:tr>
      <w:tr w:rsidR="00200F48" w:rsidRPr="00200F48" w14:paraId="0B881A39" w14:textId="77777777" w:rsidTr="00B81D3B">
        <w:trPr>
          <w:trHeight w:val="317"/>
        </w:trPr>
        <w:tc>
          <w:tcPr>
            <w:tcW w:w="9356" w:type="dxa"/>
            <w:gridSpan w:val="18"/>
            <w:tcBorders>
              <w:top w:val="single" w:sz="6" w:space="0" w:color="auto"/>
              <w:bottom w:val="single" w:sz="2" w:space="0" w:color="auto"/>
            </w:tcBorders>
            <w:shd w:val="clear" w:color="auto" w:fill="FFFFFF"/>
            <w:vAlign w:val="center"/>
          </w:tcPr>
          <w:p w14:paraId="41704807" w14:textId="77777777" w:rsidR="00200F48" w:rsidRPr="00200F48" w:rsidRDefault="00200F48" w:rsidP="00200F48">
            <w:pPr>
              <w:spacing w:before="120" w:after="120" w:line="360" w:lineRule="auto"/>
              <w:rPr>
                <w:rFonts w:ascii="Arial" w:hAnsi="Arial" w:cs="Arial"/>
                <w:sz w:val="24"/>
                <w:szCs w:val="24"/>
              </w:rPr>
            </w:pPr>
            <w:r w:rsidRPr="00200F48">
              <w:rPr>
                <w:rFonts w:ascii="Arial" w:hAnsi="Arial" w:cs="Arial"/>
                <w:sz w:val="24"/>
                <w:szCs w:val="24"/>
              </w:rPr>
              <w:lastRenderedPageBreak/>
              <w:t>…</w:t>
            </w:r>
          </w:p>
        </w:tc>
      </w:tr>
      <w:tr w:rsidR="00200F48" w:rsidRPr="00200F48" w14:paraId="56F193A0" w14:textId="77777777" w:rsidTr="00B81D3B">
        <w:trPr>
          <w:trHeight w:val="567"/>
        </w:trPr>
        <w:tc>
          <w:tcPr>
            <w:tcW w:w="1697" w:type="dxa"/>
            <w:gridSpan w:val="2"/>
            <w:tcBorders>
              <w:top w:val="single" w:sz="6" w:space="0" w:color="auto"/>
              <w:bottom w:val="single" w:sz="12" w:space="0" w:color="auto"/>
            </w:tcBorders>
            <w:shd w:val="clear" w:color="auto" w:fill="CCC0D9"/>
            <w:vAlign w:val="center"/>
          </w:tcPr>
          <w:p w14:paraId="7F62C2D6" w14:textId="77777777" w:rsidR="00200F48" w:rsidRPr="00200F48" w:rsidRDefault="00200F48" w:rsidP="00200F48">
            <w:pPr>
              <w:spacing w:before="120" w:after="120" w:line="360" w:lineRule="auto"/>
              <w:ind w:left="57"/>
              <w:rPr>
                <w:rFonts w:ascii="Arial" w:hAnsi="Arial" w:cs="Arial"/>
                <w:b/>
                <w:sz w:val="24"/>
                <w:szCs w:val="24"/>
              </w:rPr>
            </w:pPr>
            <w:r w:rsidRPr="00200F48">
              <w:rPr>
                <w:rFonts w:ascii="Arial" w:hAnsi="Arial" w:cs="Arial"/>
                <w:sz w:val="24"/>
                <w:szCs w:val="24"/>
              </w:rPr>
              <w:t>Uzasadnienie:</w:t>
            </w:r>
          </w:p>
        </w:tc>
        <w:tc>
          <w:tcPr>
            <w:tcW w:w="7659" w:type="dxa"/>
            <w:gridSpan w:val="16"/>
            <w:tcBorders>
              <w:top w:val="single" w:sz="6" w:space="0" w:color="auto"/>
              <w:bottom w:val="single" w:sz="12" w:space="0" w:color="auto"/>
            </w:tcBorders>
            <w:shd w:val="clear" w:color="auto" w:fill="FFFFFF"/>
            <w:vAlign w:val="center"/>
          </w:tcPr>
          <w:p w14:paraId="0AD98C8C" w14:textId="77777777" w:rsidR="00200F48" w:rsidRPr="00200F48" w:rsidRDefault="00200F48" w:rsidP="00200F48">
            <w:pPr>
              <w:spacing w:before="120" w:after="120" w:line="360" w:lineRule="auto"/>
              <w:ind w:left="57"/>
              <w:rPr>
                <w:rFonts w:ascii="Arial" w:hAnsi="Arial" w:cs="Arial"/>
                <w:b/>
                <w:sz w:val="24"/>
                <w:szCs w:val="24"/>
              </w:rPr>
            </w:pPr>
          </w:p>
        </w:tc>
      </w:tr>
    </w:tbl>
    <w:p w14:paraId="0CB946E2" w14:textId="77777777" w:rsidR="00BF7F7F" w:rsidRDefault="00BF7F7F" w:rsidP="00BF7F7F"/>
    <w:p w14:paraId="3AE0F2D7" w14:textId="77777777" w:rsidR="00BF7F7F" w:rsidRDefault="00BF7F7F">
      <w:pPr>
        <w:spacing w:after="0" w:line="240" w:lineRule="auto"/>
      </w:pPr>
      <w:r>
        <w:br w:type="page"/>
      </w:r>
    </w:p>
    <w:p w14:paraId="62D0F86C" w14:textId="77777777" w:rsidR="00BF7F7F" w:rsidRPr="00913DD7" w:rsidRDefault="00BF7F7F" w:rsidP="00BF7F7F">
      <w:pPr>
        <w:rPr>
          <w:rFonts w:ascii="Arial" w:hAnsi="Arial" w:cs="Arial"/>
          <w:sz w:val="24"/>
          <w:szCs w:val="24"/>
        </w:rPr>
      </w:pPr>
      <w:r w:rsidRPr="00913DD7">
        <w:rPr>
          <w:rFonts w:ascii="Arial" w:hAnsi="Arial" w:cs="Arial"/>
          <w:sz w:val="24"/>
          <w:szCs w:val="24"/>
        </w:rPr>
        <w:lastRenderedPageBreak/>
        <w:t>Załącznik 1.4</w:t>
      </w:r>
    </w:p>
    <w:tbl>
      <w:tblPr>
        <w:tblW w:w="9999"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03"/>
        <w:gridCol w:w="2220"/>
        <w:gridCol w:w="1613"/>
        <w:gridCol w:w="1747"/>
        <w:gridCol w:w="1491"/>
        <w:gridCol w:w="1125"/>
      </w:tblGrid>
      <w:tr w:rsidR="00200F48" w:rsidRPr="00200F48" w14:paraId="6E8A7DCB" w14:textId="77777777" w:rsidTr="00B81D3B">
        <w:trPr>
          <w:trHeight w:val="351"/>
        </w:trPr>
        <w:tc>
          <w:tcPr>
            <w:tcW w:w="4043" w:type="dxa"/>
            <w:gridSpan w:val="2"/>
            <w:tcBorders>
              <w:top w:val="single" w:sz="12" w:space="0" w:color="auto"/>
              <w:bottom w:val="single" w:sz="12" w:space="0" w:color="auto"/>
            </w:tcBorders>
            <w:shd w:val="clear" w:color="auto" w:fill="CCC0D9"/>
            <w:vAlign w:val="center"/>
          </w:tcPr>
          <w:p w14:paraId="05D72AAB" w14:textId="77777777" w:rsidR="00200F48" w:rsidRPr="00200F48" w:rsidRDefault="00200F48" w:rsidP="00200F48">
            <w:pPr>
              <w:spacing w:before="120" w:after="120" w:line="360" w:lineRule="auto"/>
              <w:rPr>
                <w:rFonts w:ascii="Arial" w:hAnsi="Arial" w:cs="Arial"/>
                <w:b/>
              </w:rPr>
            </w:pPr>
            <w:r w:rsidRPr="00200F48">
              <w:rPr>
                <w:rFonts w:ascii="Arial" w:hAnsi="Arial" w:cs="Arial"/>
                <w:b/>
              </w:rPr>
              <w:t>DZIAŁANIE PO WER</w:t>
            </w:r>
          </w:p>
        </w:tc>
        <w:tc>
          <w:tcPr>
            <w:tcW w:w="0" w:type="auto"/>
            <w:gridSpan w:val="4"/>
            <w:tcBorders>
              <w:top w:val="single" w:sz="12" w:space="0" w:color="auto"/>
              <w:bottom w:val="single" w:sz="12" w:space="0" w:color="auto"/>
            </w:tcBorders>
            <w:shd w:val="clear" w:color="auto" w:fill="FFFFFF"/>
            <w:vAlign w:val="center"/>
          </w:tcPr>
          <w:p w14:paraId="2A8C9706" w14:textId="77777777" w:rsidR="00200F48" w:rsidRPr="00200F48" w:rsidRDefault="00200F48" w:rsidP="00200F48">
            <w:pPr>
              <w:spacing w:before="120" w:after="120" w:line="360" w:lineRule="auto"/>
              <w:rPr>
                <w:rFonts w:ascii="Arial" w:hAnsi="Arial" w:cs="Arial"/>
                <w:b/>
              </w:rPr>
            </w:pPr>
            <w:r w:rsidRPr="00200F48">
              <w:rPr>
                <w:rFonts w:ascii="Arial" w:hAnsi="Arial" w:cs="Arial"/>
                <w:b/>
              </w:rPr>
              <w:t>2.17 Skuteczny wymiar sprawiedliwości</w:t>
            </w:r>
          </w:p>
        </w:tc>
      </w:tr>
      <w:tr w:rsidR="00200F48" w:rsidRPr="00200F48" w14:paraId="3790A371" w14:textId="77777777" w:rsidTr="00B81D3B">
        <w:trPr>
          <w:trHeight w:val="351"/>
        </w:trPr>
        <w:tc>
          <w:tcPr>
            <w:tcW w:w="9999" w:type="dxa"/>
            <w:gridSpan w:val="6"/>
            <w:tcBorders>
              <w:top w:val="single" w:sz="12" w:space="0" w:color="auto"/>
              <w:bottom w:val="single" w:sz="12" w:space="0" w:color="auto"/>
            </w:tcBorders>
            <w:shd w:val="clear" w:color="auto" w:fill="CCC0D9"/>
            <w:vAlign w:val="center"/>
          </w:tcPr>
          <w:p w14:paraId="5208D2ED" w14:textId="77777777" w:rsidR="00200F48" w:rsidRPr="00200F48" w:rsidRDefault="00200F48" w:rsidP="00200F48">
            <w:pPr>
              <w:spacing w:before="120" w:after="120" w:line="360" w:lineRule="auto"/>
              <w:rPr>
                <w:rFonts w:ascii="Arial" w:hAnsi="Arial" w:cs="Arial"/>
                <w:b/>
              </w:rPr>
            </w:pPr>
            <w:r w:rsidRPr="00200F48">
              <w:rPr>
                <w:rFonts w:ascii="Arial" w:hAnsi="Arial" w:cs="Arial"/>
                <w:b/>
              </w:rPr>
              <w:t>FISZKA PROJEKTU POZAKONKURSOWEGO KONCEPCYJNEGO</w:t>
            </w:r>
          </w:p>
        </w:tc>
      </w:tr>
      <w:tr w:rsidR="00200F48" w:rsidRPr="00200F48" w14:paraId="65F3C6DF" w14:textId="77777777" w:rsidTr="00B81D3B">
        <w:trPr>
          <w:trHeight w:val="351"/>
        </w:trPr>
        <w:tc>
          <w:tcPr>
            <w:tcW w:w="9999" w:type="dxa"/>
            <w:gridSpan w:val="6"/>
            <w:tcBorders>
              <w:top w:val="single" w:sz="12" w:space="0" w:color="auto"/>
              <w:bottom w:val="single" w:sz="2" w:space="0" w:color="auto"/>
            </w:tcBorders>
            <w:shd w:val="clear" w:color="auto" w:fill="CCC0D9"/>
            <w:vAlign w:val="center"/>
          </w:tcPr>
          <w:p w14:paraId="42DAFB9E" w14:textId="77777777" w:rsidR="00200F48" w:rsidRPr="00200F48" w:rsidRDefault="00200F48" w:rsidP="00200F48">
            <w:pPr>
              <w:spacing w:before="120" w:after="120" w:line="360" w:lineRule="auto"/>
              <w:rPr>
                <w:rFonts w:ascii="Arial" w:hAnsi="Arial" w:cs="Arial"/>
                <w:b/>
              </w:rPr>
            </w:pPr>
            <w:r w:rsidRPr="00200F48">
              <w:rPr>
                <w:rFonts w:ascii="Arial" w:hAnsi="Arial" w:cs="Arial"/>
                <w:b/>
              </w:rPr>
              <w:t>PODSTAWOWE INFORMACJE O PROJEKCIE</w:t>
            </w:r>
          </w:p>
        </w:tc>
      </w:tr>
      <w:tr w:rsidR="00200F48" w:rsidRPr="00200F48" w14:paraId="26C3FFCF" w14:textId="77777777" w:rsidTr="00B81D3B">
        <w:trPr>
          <w:trHeight w:val="351"/>
        </w:trPr>
        <w:tc>
          <w:tcPr>
            <w:tcW w:w="1843" w:type="dxa"/>
            <w:tcBorders>
              <w:top w:val="single" w:sz="12" w:space="0" w:color="auto"/>
              <w:bottom w:val="single" w:sz="2" w:space="0" w:color="auto"/>
            </w:tcBorders>
            <w:shd w:val="clear" w:color="auto" w:fill="CCC0D9"/>
            <w:vAlign w:val="center"/>
          </w:tcPr>
          <w:p w14:paraId="5421371F" w14:textId="77777777" w:rsidR="00200F48" w:rsidRPr="00200F48" w:rsidRDefault="00200F48" w:rsidP="00200F48">
            <w:pPr>
              <w:spacing w:before="120" w:after="120" w:line="360" w:lineRule="auto"/>
              <w:rPr>
                <w:rFonts w:ascii="Arial" w:hAnsi="Arial" w:cs="Arial"/>
              </w:rPr>
            </w:pPr>
            <w:r w:rsidRPr="00200F48">
              <w:rPr>
                <w:rFonts w:ascii="Arial" w:hAnsi="Arial" w:cs="Arial"/>
              </w:rPr>
              <w:t>Tytuł lub zakres projektu</w:t>
            </w:r>
            <w:r w:rsidRPr="00200F48">
              <w:rPr>
                <w:rFonts w:ascii="Arial" w:hAnsi="Arial" w:cs="Arial"/>
                <w:vertAlign w:val="superscript"/>
              </w:rPr>
              <w:footnoteReference w:id="25"/>
            </w:r>
          </w:p>
        </w:tc>
        <w:tc>
          <w:tcPr>
            <w:tcW w:w="0" w:type="auto"/>
            <w:gridSpan w:val="5"/>
            <w:tcBorders>
              <w:top w:val="single" w:sz="12" w:space="0" w:color="auto"/>
              <w:bottom w:val="single" w:sz="2" w:space="0" w:color="auto"/>
            </w:tcBorders>
            <w:vAlign w:val="center"/>
          </w:tcPr>
          <w:p w14:paraId="194C7F80" w14:textId="77777777" w:rsidR="00200F48" w:rsidRPr="00200F48" w:rsidRDefault="00200F48" w:rsidP="00200F48">
            <w:pPr>
              <w:autoSpaceDE w:val="0"/>
              <w:autoSpaceDN w:val="0"/>
              <w:adjustRightInd w:val="0"/>
              <w:spacing w:before="120" w:after="120" w:line="360" w:lineRule="auto"/>
              <w:rPr>
                <w:rFonts w:ascii="Arial" w:hAnsi="Arial" w:cs="Arial"/>
                <w:b/>
                <w:color w:val="000000"/>
                <w:lang w:eastAsia="pl-PL"/>
              </w:rPr>
            </w:pPr>
            <w:r w:rsidRPr="00200F48">
              <w:rPr>
                <w:rFonts w:ascii="Arial" w:hAnsi="Arial" w:cs="Arial"/>
                <w:b/>
                <w:bCs/>
              </w:rPr>
              <w:t>Przygotowanie i wdrożenie metodyki z zakresu pozyskiwania i przetwarzania informacji oraz komunikacji przy realizacji zadań prokuratury z wykorzystaniem systemu informatycznego PROK-SYS</w:t>
            </w:r>
          </w:p>
        </w:tc>
      </w:tr>
      <w:tr w:rsidR="00200F48" w:rsidRPr="00200F48" w14:paraId="5A4CDA00" w14:textId="77777777" w:rsidTr="00B81D3B">
        <w:trPr>
          <w:trHeight w:val="703"/>
        </w:trPr>
        <w:tc>
          <w:tcPr>
            <w:tcW w:w="1843" w:type="dxa"/>
            <w:tcBorders>
              <w:top w:val="single" w:sz="2" w:space="0" w:color="auto"/>
              <w:bottom w:val="single" w:sz="2" w:space="0" w:color="auto"/>
            </w:tcBorders>
            <w:shd w:val="clear" w:color="auto" w:fill="CCC0D9"/>
            <w:vAlign w:val="center"/>
          </w:tcPr>
          <w:p w14:paraId="4839656A"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Cel szczegółowy PO WER, w </w:t>
            </w:r>
            <w:proofErr w:type="gramStart"/>
            <w:r w:rsidRPr="00200F48">
              <w:rPr>
                <w:rFonts w:ascii="Arial" w:hAnsi="Arial" w:cs="Arial"/>
              </w:rPr>
              <w:t>ramach którego</w:t>
            </w:r>
            <w:proofErr w:type="gramEnd"/>
            <w:r w:rsidRPr="00200F48">
              <w:rPr>
                <w:rFonts w:ascii="Arial" w:hAnsi="Arial" w:cs="Arial"/>
              </w:rPr>
              <w:t xml:space="preserve"> projekt będzie realizowany</w:t>
            </w:r>
          </w:p>
        </w:tc>
        <w:tc>
          <w:tcPr>
            <w:tcW w:w="0" w:type="auto"/>
            <w:gridSpan w:val="5"/>
            <w:tcBorders>
              <w:top w:val="single" w:sz="2" w:space="0" w:color="auto"/>
              <w:bottom w:val="single" w:sz="2" w:space="0" w:color="auto"/>
            </w:tcBorders>
            <w:vAlign w:val="center"/>
          </w:tcPr>
          <w:p w14:paraId="5CF47CB5" w14:textId="77777777" w:rsidR="00200F48" w:rsidRPr="00200F48" w:rsidRDefault="00200F48" w:rsidP="00200F48">
            <w:pPr>
              <w:spacing w:before="120" w:after="120" w:line="360" w:lineRule="auto"/>
              <w:rPr>
                <w:rFonts w:ascii="Arial" w:hAnsi="Arial" w:cs="Arial"/>
              </w:rPr>
            </w:pPr>
            <w:r w:rsidRPr="00200F48">
              <w:rPr>
                <w:rFonts w:ascii="Arial" w:hAnsi="Arial" w:cs="Arial"/>
              </w:rPr>
              <w:t>Usprawnienie procesów zarządzania i komunikacji w sądownictwie i prokuraturze</w:t>
            </w:r>
          </w:p>
          <w:tbl>
            <w:tblPr>
              <w:tblpPr w:leftFromText="141" w:rightFromText="141" w:vertAnchor="text" w:horzAnchor="margin" w:tblpY="-173"/>
              <w:tblOverlap w:val="never"/>
              <w:tblW w:w="0" w:type="auto"/>
              <w:tblBorders>
                <w:top w:val="nil"/>
                <w:left w:val="nil"/>
                <w:bottom w:val="nil"/>
                <w:right w:val="nil"/>
              </w:tblBorders>
              <w:tblLook w:val="0000" w:firstRow="0" w:lastRow="0" w:firstColumn="0" w:lastColumn="0" w:noHBand="0" w:noVBand="0"/>
            </w:tblPr>
            <w:tblGrid>
              <w:gridCol w:w="222"/>
            </w:tblGrid>
            <w:tr w:rsidR="00200F48" w:rsidRPr="00200F48" w14:paraId="6742E856" w14:textId="77777777" w:rsidTr="00B81D3B">
              <w:trPr>
                <w:trHeight w:val="244"/>
              </w:trPr>
              <w:tc>
                <w:tcPr>
                  <w:tcW w:w="0" w:type="auto"/>
                </w:tcPr>
                <w:p w14:paraId="2A61067E" w14:textId="77777777" w:rsidR="00200F48" w:rsidRPr="00200F48" w:rsidRDefault="00200F48" w:rsidP="00200F48">
                  <w:pPr>
                    <w:spacing w:before="120" w:after="120" w:line="360" w:lineRule="auto"/>
                    <w:rPr>
                      <w:rFonts w:ascii="Arial" w:hAnsi="Arial" w:cs="Arial"/>
                    </w:rPr>
                  </w:pPr>
                </w:p>
              </w:tc>
            </w:tr>
          </w:tbl>
          <w:p w14:paraId="0CD81FE9" w14:textId="77777777" w:rsidR="00200F48" w:rsidRPr="00200F48" w:rsidRDefault="00200F48" w:rsidP="00200F48">
            <w:pPr>
              <w:spacing w:before="120" w:after="120" w:line="360" w:lineRule="auto"/>
              <w:rPr>
                <w:rFonts w:ascii="Arial" w:hAnsi="Arial" w:cs="Arial"/>
              </w:rPr>
            </w:pPr>
          </w:p>
        </w:tc>
      </w:tr>
      <w:tr w:rsidR="00200F48" w:rsidRPr="00200F48" w14:paraId="70C915F1" w14:textId="77777777" w:rsidTr="00B81D3B">
        <w:trPr>
          <w:trHeight w:val="703"/>
        </w:trPr>
        <w:tc>
          <w:tcPr>
            <w:tcW w:w="1843" w:type="dxa"/>
            <w:tcBorders>
              <w:top w:val="single" w:sz="2" w:space="0" w:color="auto"/>
              <w:bottom w:val="single" w:sz="2" w:space="0" w:color="auto"/>
            </w:tcBorders>
            <w:shd w:val="clear" w:color="auto" w:fill="CCC0D9"/>
            <w:vAlign w:val="center"/>
          </w:tcPr>
          <w:p w14:paraId="51542038" w14:textId="77777777" w:rsidR="00200F48" w:rsidRPr="00200F48" w:rsidRDefault="00200F48" w:rsidP="00200F48">
            <w:pPr>
              <w:spacing w:before="120" w:after="120" w:line="360" w:lineRule="auto"/>
              <w:rPr>
                <w:rFonts w:ascii="Arial" w:hAnsi="Arial" w:cs="Arial"/>
              </w:rPr>
            </w:pPr>
            <w:r w:rsidRPr="00200F48">
              <w:rPr>
                <w:rFonts w:ascii="Arial" w:hAnsi="Arial" w:cs="Arial"/>
              </w:rPr>
              <w:t>Priorytet inwestycyjny</w:t>
            </w:r>
          </w:p>
        </w:tc>
        <w:tc>
          <w:tcPr>
            <w:tcW w:w="0" w:type="auto"/>
            <w:gridSpan w:val="5"/>
            <w:tcBorders>
              <w:top w:val="single" w:sz="2" w:space="0" w:color="auto"/>
              <w:bottom w:val="single" w:sz="2" w:space="0" w:color="auto"/>
            </w:tcBorders>
            <w:vAlign w:val="center"/>
          </w:tcPr>
          <w:p w14:paraId="2364E59A" w14:textId="77777777" w:rsidR="00200F48" w:rsidRPr="00200F48" w:rsidRDefault="00200F48" w:rsidP="00200F48">
            <w:pPr>
              <w:spacing w:before="120" w:after="120" w:line="360" w:lineRule="auto"/>
              <w:rPr>
                <w:rFonts w:ascii="Arial" w:hAnsi="Arial" w:cs="Arial"/>
              </w:rPr>
            </w:pPr>
            <w:r w:rsidRPr="00200F48">
              <w:rPr>
                <w:rFonts w:ascii="Arial" w:hAnsi="Arial" w:cs="Arial"/>
              </w:rPr>
              <w:t>11.I Inwestycje w zdolności instytucjonalne i w sprawność administracji publicznej oraz efektywność usług publicznych na szczeblu krajowym, regionalnym i lokalnym w celu przeprowadzenia reform, z uwzględnieniem lepszego stanowienia prawa i dobrego rządzenia</w:t>
            </w:r>
          </w:p>
        </w:tc>
      </w:tr>
      <w:tr w:rsidR="00200F48" w:rsidRPr="00200F48" w14:paraId="78EC619C" w14:textId="77777777" w:rsidTr="00B81D3B">
        <w:trPr>
          <w:trHeight w:val="636"/>
        </w:trPr>
        <w:tc>
          <w:tcPr>
            <w:tcW w:w="1843" w:type="dxa"/>
            <w:tcBorders>
              <w:top w:val="single" w:sz="2" w:space="0" w:color="auto"/>
              <w:bottom w:val="single" w:sz="2" w:space="0" w:color="auto"/>
            </w:tcBorders>
            <w:shd w:val="clear" w:color="auto" w:fill="CCC0D9"/>
            <w:vAlign w:val="center"/>
          </w:tcPr>
          <w:p w14:paraId="6D5BA5F3" w14:textId="77777777" w:rsidR="00200F48" w:rsidRPr="00200F48" w:rsidRDefault="00200F48" w:rsidP="00200F48">
            <w:pPr>
              <w:spacing w:before="120" w:after="120" w:line="360" w:lineRule="auto"/>
              <w:rPr>
                <w:rFonts w:ascii="Arial" w:hAnsi="Arial" w:cs="Arial"/>
              </w:rPr>
            </w:pPr>
            <w:r w:rsidRPr="00200F48">
              <w:rPr>
                <w:rFonts w:ascii="Arial" w:hAnsi="Arial" w:cs="Arial"/>
              </w:rPr>
              <w:t>Typ/typy projektów przewidziane do realizacji w ramach projektu</w:t>
            </w:r>
          </w:p>
        </w:tc>
        <w:tc>
          <w:tcPr>
            <w:tcW w:w="0" w:type="auto"/>
            <w:gridSpan w:val="5"/>
            <w:tcBorders>
              <w:top w:val="single" w:sz="2" w:space="0" w:color="auto"/>
              <w:bottom w:val="single" w:sz="2" w:space="0" w:color="auto"/>
            </w:tcBorders>
          </w:tcPr>
          <w:p w14:paraId="6FFA4E97" w14:textId="77777777" w:rsidR="00200F48" w:rsidRPr="00200F48" w:rsidRDefault="00200F48" w:rsidP="00200F48">
            <w:pPr>
              <w:spacing w:before="120" w:after="120" w:line="360" w:lineRule="auto"/>
              <w:rPr>
                <w:rFonts w:ascii="Arial" w:hAnsi="Arial" w:cs="Arial"/>
              </w:rPr>
            </w:pPr>
          </w:p>
          <w:p w14:paraId="70A5E5AC" w14:textId="77777777" w:rsidR="00200F48" w:rsidRPr="00200F48" w:rsidRDefault="00200F48" w:rsidP="00200F48">
            <w:pPr>
              <w:numPr>
                <w:ilvl w:val="0"/>
                <w:numId w:val="28"/>
              </w:numPr>
              <w:spacing w:before="120" w:after="120" w:line="360" w:lineRule="auto"/>
              <w:ind w:left="141" w:firstLine="0"/>
              <w:contextualSpacing/>
              <w:rPr>
                <w:rFonts w:ascii="Arial" w:hAnsi="Arial" w:cs="Arial"/>
              </w:rPr>
            </w:pPr>
            <w:proofErr w:type="gramStart"/>
            <w:r w:rsidRPr="00200F48">
              <w:rPr>
                <w:rFonts w:ascii="Arial" w:hAnsi="Arial" w:cs="Arial"/>
              </w:rPr>
              <w:t>Opracowanie  metodyki</w:t>
            </w:r>
            <w:proofErr w:type="gramEnd"/>
            <w:r w:rsidRPr="00200F48">
              <w:rPr>
                <w:rFonts w:ascii="Arial" w:hAnsi="Arial" w:cs="Arial"/>
              </w:rPr>
              <w:t xml:space="preserve">  zarządzania  określonymi kategoriami  spraw  celem  wsparcia  prokuratora  na  etapie postępowania przygotowawczego i sądowego</w:t>
            </w:r>
          </w:p>
          <w:p w14:paraId="2768EA34" w14:textId="77777777" w:rsidR="00200F48" w:rsidRPr="00200F48" w:rsidRDefault="00200F48" w:rsidP="00200F48">
            <w:pPr>
              <w:spacing w:before="120" w:after="120" w:line="360" w:lineRule="auto"/>
              <w:ind w:left="141"/>
              <w:contextualSpacing/>
              <w:rPr>
                <w:rFonts w:ascii="Arial" w:hAnsi="Arial" w:cs="Arial"/>
              </w:rPr>
            </w:pPr>
          </w:p>
          <w:p w14:paraId="7EED83F6" w14:textId="77777777" w:rsidR="00200F48" w:rsidRPr="00200F48" w:rsidRDefault="00200F48" w:rsidP="00200F48">
            <w:pPr>
              <w:numPr>
                <w:ilvl w:val="0"/>
                <w:numId w:val="28"/>
              </w:numPr>
              <w:spacing w:before="120" w:after="120" w:line="360" w:lineRule="auto"/>
              <w:ind w:left="141" w:firstLine="0"/>
              <w:contextualSpacing/>
              <w:rPr>
                <w:rFonts w:ascii="Arial" w:hAnsi="Arial" w:cs="Arial"/>
              </w:rPr>
            </w:pPr>
            <w:r w:rsidRPr="00200F48">
              <w:rPr>
                <w:rFonts w:ascii="Arial" w:hAnsi="Arial" w:cs="Arial"/>
              </w:rPr>
              <w:t>Szkolenia dla sędziów, urzędników i innych pracowników zatrudnionych w sądach powszechnych, prokuratorów, urzędników i innych pracowników powszechnych jednostek organizacyjnych prokuratury oraz Ministerstwa Sprawiedliwości wspierające wdrażanie modeli zarządzania zasobami ludzkimi, finansami, informacją i komunikacją, świadczenie usług informatycznych, a także kontroli zarządczej oraz obsługi interesanta</w:t>
            </w:r>
          </w:p>
        </w:tc>
      </w:tr>
      <w:tr w:rsidR="00200F48" w:rsidRPr="00200F48" w14:paraId="6F7069D5" w14:textId="77777777" w:rsidTr="00B81D3B">
        <w:trPr>
          <w:trHeight w:val="636"/>
        </w:trPr>
        <w:tc>
          <w:tcPr>
            <w:tcW w:w="1843" w:type="dxa"/>
            <w:tcBorders>
              <w:top w:val="single" w:sz="2" w:space="0" w:color="auto"/>
              <w:bottom w:val="single" w:sz="2" w:space="0" w:color="auto"/>
            </w:tcBorders>
            <w:shd w:val="clear" w:color="auto" w:fill="CCC0D9"/>
            <w:vAlign w:val="center"/>
          </w:tcPr>
          <w:p w14:paraId="1F699795"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Cel główny </w:t>
            </w:r>
            <w:r w:rsidRPr="00200F48">
              <w:rPr>
                <w:rFonts w:ascii="Arial" w:hAnsi="Arial" w:cs="Arial"/>
              </w:rPr>
              <w:lastRenderedPageBreak/>
              <w:t>projektu</w:t>
            </w:r>
          </w:p>
        </w:tc>
        <w:tc>
          <w:tcPr>
            <w:tcW w:w="0" w:type="auto"/>
            <w:gridSpan w:val="5"/>
            <w:tcBorders>
              <w:top w:val="single" w:sz="2" w:space="0" w:color="auto"/>
              <w:bottom w:val="single" w:sz="2" w:space="0" w:color="auto"/>
            </w:tcBorders>
          </w:tcPr>
          <w:p w14:paraId="30E8F6FD" w14:textId="77777777" w:rsidR="00200F48" w:rsidRPr="00200F48" w:rsidRDefault="00200F48" w:rsidP="00200F48">
            <w:pPr>
              <w:spacing w:before="120" w:after="120" w:line="360" w:lineRule="auto"/>
              <w:rPr>
                <w:rFonts w:ascii="Arial" w:hAnsi="Arial" w:cs="Arial"/>
              </w:rPr>
            </w:pPr>
          </w:p>
          <w:p w14:paraId="745802CD" w14:textId="77777777" w:rsidR="00200F48" w:rsidRPr="00200F48" w:rsidRDefault="00200F48" w:rsidP="00200F48">
            <w:pPr>
              <w:spacing w:before="120" w:after="120" w:line="360" w:lineRule="auto"/>
              <w:rPr>
                <w:rFonts w:ascii="Arial" w:hAnsi="Arial" w:cs="Arial"/>
              </w:rPr>
            </w:pPr>
            <w:r w:rsidRPr="00200F48">
              <w:rPr>
                <w:rFonts w:ascii="Arial" w:hAnsi="Arial" w:cs="Arial"/>
              </w:rPr>
              <w:lastRenderedPageBreak/>
              <w:t xml:space="preserve">Zwiększenie kompetencji prokuratorów, </w:t>
            </w:r>
            <w:proofErr w:type="gramStart"/>
            <w:r w:rsidRPr="00200F48">
              <w:rPr>
                <w:rFonts w:ascii="Arial" w:hAnsi="Arial" w:cs="Arial"/>
              </w:rPr>
              <w:t>urzędników  oraz</w:t>
            </w:r>
            <w:proofErr w:type="gramEnd"/>
            <w:r w:rsidRPr="00200F48">
              <w:rPr>
                <w:rFonts w:ascii="Arial" w:hAnsi="Arial" w:cs="Arial"/>
              </w:rPr>
              <w:t xml:space="preserve"> innych pracowników Prokuratury Krajowej oraz powszechnych jednostek organizacyjnych prokuratury w zakresie realizacji obowiązków służbowych z wykorzystaniem narzędzi informatycznych, do wykonywania czynności służbowych oraz możliwości wykorzystania e-akt do pracy własnej oraz ich udostępniania stronom postępowań. </w:t>
            </w:r>
          </w:p>
        </w:tc>
      </w:tr>
      <w:tr w:rsidR="00200F48" w:rsidRPr="00200F48" w14:paraId="03159E3E" w14:textId="77777777" w:rsidTr="00B81D3B">
        <w:trPr>
          <w:trHeight w:val="636"/>
        </w:trPr>
        <w:tc>
          <w:tcPr>
            <w:tcW w:w="1843" w:type="dxa"/>
            <w:tcBorders>
              <w:top w:val="single" w:sz="2" w:space="0" w:color="auto"/>
              <w:bottom w:val="single" w:sz="2" w:space="0" w:color="auto"/>
            </w:tcBorders>
            <w:shd w:val="clear" w:color="auto" w:fill="CCC0D9"/>
            <w:vAlign w:val="center"/>
          </w:tcPr>
          <w:p w14:paraId="4698F7DB" w14:textId="77777777" w:rsidR="00200F48" w:rsidRPr="00200F48" w:rsidRDefault="00200F48" w:rsidP="00200F48">
            <w:pPr>
              <w:spacing w:before="120" w:after="120" w:line="360" w:lineRule="auto"/>
              <w:rPr>
                <w:rFonts w:ascii="Arial" w:hAnsi="Arial" w:cs="Arial"/>
              </w:rPr>
            </w:pPr>
            <w:r w:rsidRPr="00200F48">
              <w:rPr>
                <w:rFonts w:ascii="Arial" w:hAnsi="Arial" w:cs="Arial"/>
              </w:rPr>
              <w:lastRenderedPageBreak/>
              <w:t>Kamienie milowe projektu</w:t>
            </w:r>
            <w:r w:rsidRPr="00200F48">
              <w:rPr>
                <w:rFonts w:ascii="Arial" w:hAnsi="Arial" w:cs="Arial"/>
                <w:vertAlign w:val="superscript"/>
              </w:rPr>
              <w:footnoteReference w:id="26"/>
            </w:r>
          </w:p>
        </w:tc>
        <w:tc>
          <w:tcPr>
            <w:tcW w:w="0" w:type="auto"/>
            <w:gridSpan w:val="5"/>
            <w:tcBorders>
              <w:top w:val="single" w:sz="2" w:space="0" w:color="auto"/>
              <w:bottom w:val="single" w:sz="2" w:space="0" w:color="auto"/>
            </w:tcBorders>
          </w:tcPr>
          <w:p w14:paraId="7569608D" w14:textId="77777777" w:rsidR="00200F48" w:rsidRPr="00200F48" w:rsidRDefault="00200F48" w:rsidP="00200F48">
            <w:pPr>
              <w:spacing w:before="120" w:after="120" w:line="360" w:lineRule="auto"/>
              <w:rPr>
                <w:rFonts w:ascii="Arial" w:hAnsi="Arial" w:cs="Arial"/>
              </w:rPr>
            </w:pPr>
          </w:p>
          <w:p w14:paraId="66A9F2D0" w14:textId="77777777" w:rsidR="00200F48" w:rsidRPr="00200F48" w:rsidRDefault="00200F48" w:rsidP="00200F48">
            <w:pPr>
              <w:numPr>
                <w:ilvl w:val="0"/>
                <w:numId w:val="25"/>
              </w:numPr>
              <w:spacing w:before="120" w:after="120" w:line="360" w:lineRule="auto"/>
              <w:rPr>
                <w:rFonts w:ascii="Arial" w:hAnsi="Arial" w:cs="Arial"/>
              </w:rPr>
            </w:pPr>
            <w:r w:rsidRPr="00200F48">
              <w:rPr>
                <w:rFonts w:ascii="Arial" w:hAnsi="Arial" w:cs="Arial"/>
              </w:rPr>
              <w:t xml:space="preserve">Zatwierdzona </w:t>
            </w:r>
            <w:bookmarkStart w:id="16" w:name="_Hlk40185794"/>
            <w:r w:rsidRPr="00200F48">
              <w:rPr>
                <w:rFonts w:ascii="Arial" w:hAnsi="Arial" w:cs="Arial"/>
              </w:rPr>
              <w:t xml:space="preserve">metodyka z zakresu pozyskiwania i przetwarzania </w:t>
            </w:r>
            <w:proofErr w:type="gramStart"/>
            <w:r w:rsidRPr="00200F48">
              <w:rPr>
                <w:rFonts w:ascii="Arial" w:hAnsi="Arial" w:cs="Arial"/>
              </w:rPr>
              <w:t>informacji,  elektronicznej</w:t>
            </w:r>
            <w:proofErr w:type="gramEnd"/>
            <w:r w:rsidRPr="00200F48">
              <w:rPr>
                <w:rFonts w:ascii="Arial" w:hAnsi="Arial" w:cs="Arial"/>
              </w:rPr>
              <w:t xml:space="preserve"> komunikacji z innymi podmiotami oraz wykorzystania e-akt spraw karnych przy realizacji zadań prokuratury z wykorzystaniem systemu informatycznego PROK-SYS</w:t>
            </w:r>
            <w:bookmarkEnd w:id="16"/>
            <w:r w:rsidRPr="00200F48">
              <w:rPr>
                <w:rFonts w:ascii="Arial" w:hAnsi="Arial" w:cs="Arial"/>
              </w:rPr>
              <w:t xml:space="preserve"> -2,38% budżetu projektu.</w:t>
            </w:r>
          </w:p>
          <w:p w14:paraId="20D4FD7E" w14:textId="77777777" w:rsidR="00200F48" w:rsidRPr="00200F48" w:rsidRDefault="00200F48" w:rsidP="00200F48">
            <w:pPr>
              <w:spacing w:before="120" w:after="120" w:line="360" w:lineRule="auto"/>
              <w:ind w:left="720"/>
              <w:rPr>
                <w:rFonts w:ascii="Arial" w:hAnsi="Arial" w:cs="Arial"/>
              </w:rPr>
            </w:pPr>
            <w:r w:rsidRPr="00200F48">
              <w:rPr>
                <w:rFonts w:ascii="Arial" w:hAnsi="Arial" w:cs="Arial"/>
              </w:rPr>
              <w:t xml:space="preserve">W celu osiągnięcia pierwszego kamienia milowego zostanie opracowany konspekt „Metodyki” - Produkt nr 1, który następnie zostanie </w:t>
            </w:r>
            <w:proofErr w:type="gramStart"/>
            <w:r w:rsidRPr="00200F48">
              <w:rPr>
                <w:rFonts w:ascii="Arial" w:hAnsi="Arial" w:cs="Arial"/>
              </w:rPr>
              <w:t>rozwinięty jako</w:t>
            </w:r>
            <w:proofErr w:type="gramEnd"/>
            <w:r w:rsidRPr="00200F48">
              <w:rPr>
                <w:rFonts w:ascii="Arial" w:hAnsi="Arial" w:cs="Arial"/>
              </w:rPr>
              <w:t xml:space="preserve"> opracowanie niepowielające treści instrukcji obsługi systemu PROK-SYS. Głównym komponentem kamienia milowego będzie „Metodyka” stanowiąca Produkt nr 2, które zostanie poddana procesowi opiniowania przez poszczególne komórki organizacyjne Beneficjenta, a następnie przedłożona Prokuratorowi Krajowemu celem wyrażenia zgody na wdrożenie. Wskazane opracowanie będzie skierowane do prokuratorów oraz kadry urzędniczej. Obydwa zadania projektowe skutkujące osiągnięciem pierwszego kamienia milowego zostaną zrealizowane przez zasób kadrowy Beneficjenta </w:t>
            </w:r>
          </w:p>
          <w:p w14:paraId="260D7BC7" w14:textId="77777777" w:rsidR="00200F48" w:rsidRPr="00200F48" w:rsidRDefault="00200F48" w:rsidP="00200F48">
            <w:pPr>
              <w:spacing w:before="120" w:after="120" w:line="360" w:lineRule="auto"/>
              <w:ind w:left="720"/>
              <w:rPr>
                <w:rFonts w:ascii="Arial" w:hAnsi="Arial" w:cs="Arial"/>
              </w:rPr>
            </w:pPr>
            <w:r w:rsidRPr="00200F48">
              <w:rPr>
                <w:rFonts w:ascii="Arial" w:hAnsi="Arial" w:cs="Arial"/>
              </w:rPr>
              <w:t xml:space="preserve">Konspekt „Metodyki”→ Opracowana „Metodyka” → Przyjęcie „Metodyki </w:t>
            </w:r>
          </w:p>
          <w:p w14:paraId="6E525330" w14:textId="77777777" w:rsidR="00200F48" w:rsidRPr="00200F48" w:rsidRDefault="00200F48" w:rsidP="00200F48">
            <w:pPr>
              <w:spacing w:before="120" w:after="120" w:line="360" w:lineRule="auto"/>
              <w:ind w:left="720"/>
              <w:rPr>
                <w:rFonts w:ascii="Arial" w:hAnsi="Arial" w:cs="Arial"/>
              </w:rPr>
            </w:pPr>
            <w:r w:rsidRPr="00200F48">
              <w:rPr>
                <w:rFonts w:ascii="Arial" w:hAnsi="Arial" w:cs="Arial"/>
              </w:rPr>
              <w:t>Planowana data 03.2021</w:t>
            </w:r>
          </w:p>
          <w:p w14:paraId="674E46BB" w14:textId="77777777" w:rsidR="00200F48" w:rsidRPr="00200F48" w:rsidRDefault="00200F48" w:rsidP="00200F48">
            <w:pPr>
              <w:numPr>
                <w:ilvl w:val="0"/>
                <w:numId w:val="25"/>
              </w:numPr>
              <w:spacing w:before="120" w:after="120" w:line="360" w:lineRule="auto"/>
              <w:rPr>
                <w:rFonts w:ascii="Arial" w:hAnsi="Arial" w:cs="Arial"/>
              </w:rPr>
            </w:pPr>
            <w:r w:rsidRPr="00200F48">
              <w:rPr>
                <w:rFonts w:ascii="Arial" w:hAnsi="Arial" w:cs="Arial"/>
              </w:rPr>
              <w:t>Rozbudowa aplikacji SWP do wersji przeglądarkowej wraz z integracją z systemem informatycznym PROK-SYS -20,11% budżetu projektu</w:t>
            </w:r>
          </w:p>
          <w:p w14:paraId="40FC5C29" w14:textId="77777777" w:rsidR="00200F48" w:rsidRPr="00200F48" w:rsidRDefault="00200F48" w:rsidP="00200F48">
            <w:pPr>
              <w:spacing w:before="120" w:after="120" w:line="360" w:lineRule="auto"/>
              <w:ind w:left="720"/>
              <w:rPr>
                <w:rFonts w:ascii="Arial" w:hAnsi="Arial" w:cs="Arial"/>
              </w:rPr>
            </w:pPr>
            <w:r w:rsidRPr="00200F48">
              <w:rPr>
                <w:rFonts w:ascii="Arial" w:hAnsi="Arial" w:cs="Arial"/>
              </w:rPr>
              <w:t xml:space="preserve">Kolejny kamień milowy zostanie osiągnięty poprzez budowę Produktu nr 3 tj. przeprowadzenie rozbudowy posiadanej przez Beneficjenta aplikacji SWP (System Wsparcia Prokuratora) z wersji desktopowej do wersji przeglądarkowej, a następnie dokonanie integracji wytworzonej aplikacji z systemem PROK-SYS. Wskazane zamierzenie będzie skutkowało </w:t>
            </w:r>
            <w:r w:rsidRPr="00200F48">
              <w:rPr>
                <w:rFonts w:ascii="Arial" w:hAnsi="Arial" w:cs="Arial"/>
              </w:rPr>
              <w:lastRenderedPageBreak/>
              <w:t xml:space="preserve">włączeniem odrębnej obecnie aplikacji wraz z jej wszystkimi funkcjonalnościami do wiodącego systemu informatycznego </w:t>
            </w:r>
            <w:proofErr w:type="gramStart"/>
            <w:r w:rsidRPr="00200F48">
              <w:rPr>
                <w:rFonts w:ascii="Arial" w:hAnsi="Arial" w:cs="Arial"/>
              </w:rPr>
              <w:t>Prokuratury jako</w:t>
            </w:r>
            <w:proofErr w:type="gramEnd"/>
            <w:r w:rsidRPr="00200F48">
              <w:rPr>
                <w:rFonts w:ascii="Arial" w:hAnsi="Arial" w:cs="Arial"/>
              </w:rPr>
              <w:t xml:space="preserve"> kolejnej z jego funkcjonalności. Rozbudowany w ramach projektu komponent systemu </w:t>
            </w:r>
            <w:proofErr w:type="gramStart"/>
            <w:r w:rsidRPr="00200F48">
              <w:rPr>
                <w:rFonts w:ascii="Arial" w:hAnsi="Arial" w:cs="Arial"/>
              </w:rPr>
              <w:t>PROK-SYS  będzie</w:t>
            </w:r>
            <w:proofErr w:type="gramEnd"/>
            <w:r w:rsidRPr="00200F48">
              <w:rPr>
                <w:rFonts w:ascii="Arial" w:hAnsi="Arial" w:cs="Arial"/>
              </w:rPr>
              <w:t xml:space="preserve"> zgodny ze standardem tego systemu tj. wymogami WCAG 2.0 </w:t>
            </w:r>
            <w:proofErr w:type="gramStart"/>
            <w:r w:rsidRPr="00200F48">
              <w:rPr>
                <w:rFonts w:ascii="Arial" w:hAnsi="Arial" w:cs="Arial"/>
              </w:rPr>
              <w:t>posiadając</w:t>
            </w:r>
            <w:proofErr w:type="gramEnd"/>
            <w:r w:rsidRPr="00200F48">
              <w:rPr>
                <w:rFonts w:ascii="Arial" w:hAnsi="Arial" w:cs="Arial"/>
              </w:rPr>
              <w:t xml:space="preserve"> funkcjonalność umożliwiającą korzystanie każdemu z użytkowników bez względu na preferencję płci czy stopień niepełnosprawności. Zadanie będzie realizowane przez zasób kadrowy Beneficjenta – osoby wchodzące w skład Zespołu Projektowego oraz zasób kadrowy Wykonawcy wyłonionego w ramach zamówienia publicznego. </w:t>
            </w:r>
          </w:p>
          <w:p w14:paraId="2C685DC6" w14:textId="77777777" w:rsidR="00200F48" w:rsidRPr="00200F48" w:rsidRDefault="00200F48" w:rsidP="00200F48">
            <w:pPr>
              <w:spacing w:before="120" w:after="120" w:line="360" w:lineRule="auto"/>
              <w:ind w:left="720"/>
              <w:rPr>
                <w:rFonts w:ascii="Arial" w:hAnsi="Arial" w:cs="Arial"/>
              </w:rPr>
            </w:pPr>
            <w:r w:rsidRPr="00200F48">
              <w:rPr>
                <w:rFonts w:ascii="Arial" w:hAnsi="Arial" w:cs="Arial"/>
              </w:rPr>
              <w:t>Opracowanie wymagań rozbudowy SWP i integracji z PROK-SYS → Rozbudowa SWP i integracja z PROK-SYS → PROK-SYS z zaimplementowanym SWP → Odbiór Produktu nr 3</w:t>
            </w:r>
          </w:p>
          <w:p w14:paraId="3AE23658" w14:textId="77777777" w:rsidR="00200F48" w:rsidRPr="00200F48" w:rsidRDefault="00200F48" w:rsidP="00200F48">
            <w:pPr>
              <w:spacing w:before="120" w:after="120" w:line="360" w:lineRule="auto"/>
              <w:ind w:left="720"/>
              <w:contextualSpacing/>
              <w:rPr>
                <w:rFonts w:ascii="Arial" w:hAnsi="Arial" w:cs="Arial"/>
              </w:rPr>
            </w:pPr>
            <w:r w:rsidRPr="00200F48">
              <w:rPr>
                <w:rFonts w:ascii="Arial" w:hAnsi="Arial" w:cs="Arial"/>
              </w:rPr>
              <w:t>Planowana data 06.2021</w:t>
            </w:r>
          </w:p>
          <w:p w14:paraId="134B9767" w14:textId="77777777" w:rsidR="00200F48" w:rsidRPr="00200F48" w:rsidRDefault="00200F48" w:rsidP="00200F48">
            <w:pPr>
              <w:numPr>
                <w:ilvl w:val="0"/>
                <w:numId w:val="25"/>
              </w:numPr>
              <w:spacing w:before="120" w:after="120" w:line="360" w:lineRule="auto"/>
              <w:rPr>
                <w:rFonts w:ascii="Arial" w:hAnsi="Arial" w:cs="Arial"/>
              </w:rPr>
            </w:pPr>
            <w:r w:rsidRPr="00200F48">
              <w:rPr>
                <w:rFonts w:ascii="Arial" w:hAnsi="Arial" w:cs="Arial"/>
              </w:rPr>
              <w:t>Wdrożona metodyka i z zakresu pozyskiwania i przetwarzania informacji oraz komunikacji z innymi podmiotami oraz wykorzystania e-akt spraw karnych przy realizacji zadań prokuratury z wykorzystaniem systemu informatycznego PROK-SYS – 77,51% budżetu</w:t>
            </w:r>
          </w:p>
          <w:p w14:paraId="55FBFE31" w14:textId="77777777" w:rsidR="00200F48" w:rsidRPr="00200F48" w:rsidRDefault="00200F48" w:rsidP="00200F48">
            <w:pPr>
              <w:spacing w:before="120" w:after="120" w:line="360" w:lineRule="auto"/>
              <w:ind w:left="720"/>
              <w:rPr>
                <w:rFonts w:ascii="Arial" w:hAnsi="Arial" w:cs="Arial"/>
              </w:rPr>
            </w:pPr>
            <w:r w:rsidRPr="00200F48">
              <w:rPr>
                <w:rFonts w:ascii="Arial" w:hAnsi="Arial" w:cs="Arial"/>
              </w:rPr>
              <w:t xml:space="preserve">Osiągnięcie kamienia milowego będzie wymagało przeprowadzenia działań takich jak: opracowanie wymagań dla przeprowadzenia szkoleń (ośrodki szkoleniowe, trenerzy, materiały szkoleniowe), przeprowadzenie postępowania w celu wyłonienia organizatora szkoleń (usługi hotelowe, najem </w:t>
            </w:r>
            <w:proofErr w:type="spellStart"/>
            <w:r w:rsidRPr="00200F48">
              <w:rPr>
                <w:rFonts w:ascii="Arial" w:hAnsi="Arial" w:cs="Arial"/>
              </w:rPr>
              <w:t>sal</w:t>
            </w:r>
            <w:proofErr w:type="spellEnd"/>
            <w:r w:rsidRPr="00200F48">
              <w:rPr>
                <w:rFonts w:ascii="Arial" w:hAnsi="Arial" w:cs="Arial"/>
              </w:rPr>
              <w:t xml:space="preserve"> szkoleniowych, usługi restauracyjne), przeprowadzenie postępowania w celu wyłonienia trenerów prowadzących szkolenia. Kamień milowy zostanie osiągnięty poprzez wdrożenie opracowanej „Metodyki” w ramach prowadzonych szkoleń warsztatowych z wykorzystaniem środowiska szkoleniowego PROK-SYS. Celem szkoleń nie będzie powielanie zapisów zawartych w instrukcji obsługi </w:t>
            </w:r>
            <w:proofErr w:type="gramStart"/>
            <w:r w:rsidRPr="00200F48">
              <w:rPr>
                <w:rFonts w:ascii="Arial" w:hAnsi="Arial" w:cs="Arial"/>
              </w:rPr>
              <w:t>systemu lecz</w:t>
            </w:r>
            <w:proofErr w:type="gramEnd"/>
            <w:r w:rsidRPr="00200F48">
              <w:rPr>
                <w:rFonts w:ascii="Arial" w:hAnsi="Arial" w:cs="Arial"/>
              </w:rPr>
              <w:t xml:space="preserve"> nauczenie uczestników w jaki sposób zoptymalizować czynności służbowe. </w:t>
            </w:r>
          </w:p>
          <w:p w14:paraId="3F538B59" w14:textId="77777777" w:rsidR="00200F48" w:rsidRPr="00200F48" w:rsidRDefault="00200F48" w:rsidP="00200F48">
            <w:pPr>
              <w:spacing w:before="120" w:after="120" w:line="360" w:lineRule="auto"/>
              <w:ind w:left="720"/>
              <w:rPr>
                <w:rFonts w:ascii="Arial" w:hAnsi="Arial" w:cs="Arial"/>
              </w:rPr>
            </w:pPr>
            <w:r w:rsidRPr="00200F48">
              <w:rPr>
                <w:rFonts w:ascii="Arial" w:hAnsi="Arial" w:cs="Arial"/>
              </w:rPr>
              <w:t>Planowana data 06.2023</w:t>
            </w:r>
          </w:p>
        </w:tc>
      </w:tr>
      <w:tr w:rsidR="00200F48" w:rsidRPr="00200F48" w14:paraId="23775C9A" w14:textId="77777777" w:rsidTr="00B81D3B">
        <w:trPr>
          <w:trHeight w:val="636"/>
        </w:trPr>
        <w:tc>
          <w:tcPr>
            <w:tcW w:w="1843" w:type="dxa"/>
            <w:tcBorders>
              <w:top w:val="single" w:sz="2" w:space="0" w:color="auto"/>
              <w:bottom w:val="single" w:sz="2" w:space="0" w:color="auto"/>
            </w:tcBorders>
            <w:shd w:val="clear" w:color="auto" w:fill="CCC0D9"/>
            <w:vAlign w:val="center"/>
          </w:tcPr>
          <w:p w14:paraId="6F6459E2" w14:textId="77777777" w:rsidR="00200F48" w:rsidRPr="00200F48" w:rsidRDefault="00200F48" w:rsidP="00200F48">
            <w:pPr>
              <w:spacing w:before="120" w:after="120" w:line="360" w:lineRule="auto"/>
              <w:rPr>
                <w:rFonts w:ascii="Arial" w:hAnsi="Arial" w:cs="Arial"/>
              </w:rPr>
            </w:pPr>
            <w:r w:rsidRPr="00200F48">
              <w:rPr>
                <w:rFonts w:ascii="Arial" w:hAnsi="Arial" w:cs="Arial"/>
              </w:rPr>
              <w:lastRenderedPageBreak/>
              <w:t>Podmiot zgłaszający projekt</w:t>
            </w:r>
            <w:r w:rsidRPr="00200F48">
              <w:rPr>
                <w:rFonts w:ascii="Arial" w:hAnsi="Arial" w:cs="Arial"/>
                <w:vertAlign w:val="superscript"/>
              </w:rPr>
              <w:footnoteReference w:id="27"/>
            </w:r>
          </w:p>
        </w:tc>
        <w:tc>
          <w:tcPr>
            <w:tcW w:w="0" w:type="auto"/>
            <w:gridSpan w:val="5"/>
            <w:tcBorders>
              <w:top w:val="single" w:sz="2" w:space="0" w:color="auto"/>
              <w:bottom w:val="single" w:sz="2" w:space="0" w:color="auto"/>
            </w:tcBorders>
          </w:tcPr>
          <w:p w14:paraId="77D91721" w14:textId="77777777" w:rsidR="00200F48" w:rsidRPr="00200F48" w:rsidRDefault="00200F48" w:rsidP="00200F48">
            <w:pPr>
              <w:spacing w:before="120" w:after="120" w:line="360" w:lineRule="auto"/>
              <w:rPr>
                <w:rFonts w:ascii="Arial" w:hAnsi="Arial" w:cs="Arial"/>
              </w:rPr>
            </w:pPr>
          </w:p>
          <w:p w14:paraId="5E5950A3" w14:textId="77777777" w:rsidR="00200F48" w:rsidRPr="00200F48" w:rsidRDefault="00200F48" w:rsidP="00200F48">
            <w:pPr>
              <w:spacing w:before="120" w:after="120" w:line="360" w:lineRule="auto"/>
              <w:rPr>
                <w:rFonts w:ascii="Arial" w:hAnsi="Arial" w:cs="Arial"/>
              </w:rPr>
            </w:pPr>
            <w:r w:rsidRPr="00200F48">
              <w:rPr>
                <w:rFonts w:ascii="Arial" w:hAnsi="Arial" w:cs="Arial"/>
              </w:rPr>
              <w:t>Instytucja Pośrednicząca - Ministerstwo Sprawiedliwości</w:t>
            </w:r>
          </w:p>
        </w:tc>
      </w:tr>
      <w:tr w:rsidR="00200F48" w:rsidRPr="00200F48" w14:paraId="201E0DE1" w14:textId="77777777" w:rsidTr="00B81D3B">
        <w:trPr>
          <w:trHeight w:val="434"/>
        </w:trPr>
        <w:tc>
          <w:tcPr>
            <w:tcW w:w="1843" w:type="dxa"/>
            <w:tcBorders>
              <w:top w:val="single" w:sz="2" w:space="0" w:color="auto"/>
              <w:bottom w:val="single" w:sz="2" w:space="0" w:color="auto"/>
            </w:tcBorders>
            <w:shd w:val="clear" w:color="auto" w:fill="CCC0D9"/>
            <w:vAlign w:val="center"/>
          </w:tcPr>
          <w:p w14:paraId="35283C30" w14:textId="77777777" w:rsidR="00200F48" w:rsidRPr="00200F48" w:rsidRDefault="00200F48" w:rsidP="00200F48">
            <w:pPr>
              <w:spacing w:before="120" w:after="120" w:line="360" w:lineRule="auto"/>
              <w:rPr>
                <w:rFonts w:ascii="Arial" w:hAnsi="Arial" w:cs="Arial"/>
              </w:rPr>
            </w:pPr>
            <w:r w:rsidRPr="00200F48">
              <w:rPr>
                <w:rFonts w:ascii="Arial" w:hAnsi="Arial" w:cs="Arial"/>
              </w:rPr>
              <w:t>Podmiot, który będzie wnioskodawcą</w:t>
            </w:r>
          </w:p>
        </w:tc>
        <w:tc>
          <w:tcPr>
            <w:tcW w:w="0" w:type="auto"/>
            <w:gridSpan w:val="5"/>
            <w:tcBorders>
              <w:top w:val="single" w:sz="2" w:space="0" w:color="auto"/>
              <w:bottom w:val="single" w:sz="2" w:space="0" w:color="auto"/>
            </w:tcBorders>
            <w:vAlign w:val="center"/>
          </w:tcPr>
          <w:p w14:paraId="6399D8C6" w14:textId="77777777" w:rsidR="00200F48" w:rsidRPr="00200F48" w:rsidRDefault="00200F48" w:rsidP="00200F48">
            <w:pPr>
              <w:spacing w:before="120" w:after="120" w:line="360" w:lineRule="auto"/>
              <w:rPr>
                <w:rFonts w:ascii="Arial" w:hAnsi="Arial" w:cs="Arial"/>
                <w:b/>
              </w:rPr>
            </w:pPr>
            <w:r w:rsidRPr="00200F48">
              <w:rPr>
                <w:rFonts w:ascii="Arial" w:hAnsi="Arial" w:cs="Arial"/>
                <w:b/>
              </w:rPr>
              <w:t>Prokuratura Krajowa</w:t>
            </w:r>
          </w:p>
        </w:tc>
      </w:tr>
      <w:tr w:rsidR="00200F48" w:rsidRPr="00200F48" w14:paraId="0F7B740C" w14:textId="77777777" w:rsidTr="00B81D3B">
        <w:trPr>
          <w:trHeight w:val="434"/>
        </w:trPr>
        <w:tc>
          <w:tcPr>
            <w:tcW w:w="1843" w:type="dxa"/>
            <w:tcBorders>
              <w:top w:val="single" w:sz="2" w:space="0" w:color="auto"/>
              <w:bottom w:val="single" w:sz="2" w:space="0" w:color="auto"/>
            </w:tcBorders>
            <w:shd w:val="clear" w:color="auto" w:fill="CCC0D9"/>
            <w:vAlign w:val="center"/>
          </w:tcPr>
          <w:p w14:paraId="3C07446F" w14:textId="77777777" w:rsidR="00200F48" w:rsidRPr="00200F48" w:rsidRDefault="00200F48" w:rsidP="00200F48">
            <w:pPr>
              <w:spacing w:before="120" w:after="120" w:line="360" w:lineRule="auto"/>
              <w:rPr>
                <w:rFonts w:ascii="Arial" w:hAnsi="Arial" w:cs="Arial"/>
              </w:rPr>
            </w:pPr>
            <w:r w:rsidRPr="00200F48">
              <w:rPr>
                <w:rFonts w:ascii="Arial" w:hAnsi="Arial" w:cs="Arial"/>
              </w:rPr>
              <w:t>Uzasadnienie wyboru podmiotu, który będzie wnioskodawcą</w:t>
            </w:r>
            <w:r w:rsidRPr="00200F48">
              <w:rPr>
                <w:rFonts w:ascii="Arial" w:hAnsi="Arial" w:cs="Arial"/>
                <w:vertAlign w:val="superscript"/>
              </w:rPr>
              <w:footnoteReference w:id="28"/>
            </w:r>
          </w:p>
        </w:tc>
        <w:tc>
          <w:tcPr>
            <w:tcW w:w="0" w:type="auto"/>
            <w:gridSpan w:val="5"/>
            <w:tcBorders>
              <w:top w:val="single" w:sz="2" w:space="0" w:color="auto"/>
              <w:bottom w:val="single" w:sz="2" w:space="0" w:color="auto"/>
            </w:tcBorders>
            <w:vAlign w:val="center"/>
          </w:tcPr>
          <w:p w14:paraId="7DD92C0A"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Prokuratura wykonuje zadania w zakresie ścigania przestępstw oraz stoi na straży praworządności. Status prawny oraz organizację i strukturę prokuratury określają takie akty prawne jak: ustawa z dnia 28 stycznia 2016 r. – Prawo o prokuraturze (Dz.U. </w:t>
            </w:r>
            <w:proofErr w:type="gramStart"/>
            <w:r w:rsidRPr="00200F48">
              <w:rPr>
                <w:rFonts w:ascii="Arial" w:hAnsi="Arial" w:cs="Arial"/>
              </w:rPr>
              <w:t>poz</w:t>
            </w:r>
            <w:proofErr w:type="gramEnd"/>
            <w:r w:rsidRPr="00200F48">
              <w:rPr>
                <w:rFonts w:ascii="Arial" w:hAnsi="Arial" w:cs="Arial"/>
              </w:rPr>
              <w:t>. 177) oraz rozporządzenie Ministra Sprawiedliwości z dnia 7 kwietnia 2016 r. Regulamin wewnętrznego urzędowania powszechnych jednostek organizacyjnych prokuratury (Dz. U. poz</w:t>
            </w:r>
            <w:proofErr w:type="gramStart"/>
            <w:r w:rsidRPr="00200F48">
              <w:rPr>
                <w:rFonts w:ascii="Arial" w:hAnsi="Arial" w:cs="Arial"/>
              </w:rPr>
              <w:t>. 508). Z</w:t>
            </w:r>
            <w:proofErr w:type="gramEnd"/>
            <w:r w:rsidRPr="00200F48">
              <w:rPr>
                <w:rFonts w:ascii="Arial" w:hAnsi="Arial" w:cs="Arial"/>
              </w:rPr>
              <w:t xml:space="preserve"> uwagi na zakres i przedmiot zadań, jakie powierzył prokuraturze ustawodawca, instytucja ta posiada specyficzną, hierarchiczną strukturę organizacyjną. Mając na względzie zarówno zakres zadań prokuratury, jak też jej strukturę organizacyjną jedynym podmiotem, który może właściwie zrealizować działania objęte projektem, skierowane do określonej grupy docelowej, jest Prokuratura Krajowa. Biorąc pod uwagę, że metodyka stanowi specyficzny akt kierownictwa wewnętrznego, żaden podmiot spoza struktury organizacyjnej prokuratury nie jest właściwy do przygotowania i przyjęcia takiego dokumentu. Ponadto żaden inny podmiot, poza jednostkami organizacyjnymi prokuratury nie ma wiedzy oraz nie jest właściwy w zakresie realizacji obowiązków wynikających z aktów prawnych regulujący działania prokuratury ani w zakresie sposobu funkcjonowania systemu informatycznego PROK-SYS, które to oprogramowanie jest własnością Prokuratury Krajowej i nie może być przedmiotem obrotu rynkowego. </w:t>
            </w:r>
          </w:p>
        </w:tc>
      </w:tr>
      <w:tr w:rsidR="00200F48" w:rsidRPr="00200F48" w14:paraId="17EC9CE1" w14:textId="77777777" w:rsidTr="00B81D3B">
        <w:trPr>
          <w:trHeight w:val="434"/>
        </w:trPr>
        <w:tc>
          <w:tcPr>
            <w:tcW w:w="1843" w:type="dxa"/>
            <w:tcBorders>
              <w:top w:val="single" w:sz="2" w:space="0" w:color="auto"/>
              <w:bottom w:val="single" w:sz="2" w:space="0" w:color="auto"/>
            </w:tcBorders>
            <w:shd w:val="clear" w:color="auto" w:fill="CCC0D9"/>
            <w:vAlign w:val="center"/>
          </w:tcPr>
          <w:p w14:paraId="0E1F9FF1" w14:textId="77777777" w:rsidR="00200F48" w:rsidRPr="00200F48" w:rsidRDefault="00200F48" w:rsidP="00200F48">
            <w:pPr>
              <w:spacing w:before="120" w:after="120" w:line="360" w:lineRule="auto"/>
              <w:rPr>
                <w:rFonts w:ascii="Arial" w:hAnsi="Arial" w:cs="Arial"/>
              </w:rPr>
            </w:pPr>
            <w:r w:rsidRPr="00200F48">
              <w:rPr>
                <w:rFonts w:ascii="Arial" w:hAnsi="Arial" w:cs="Arial"/>
              </w:rPr>
              <w:t>Czy projekt będzie realizowany w partnerstwie?</w:t>
            </w:r>
          </w:p>
        </w:tc>
        <w:tc>
          <w:tcPr>
            <w:tcW w:w="3816" w:type="dxa"/>
            <w:gridSpan w:val="2"/>
            <w:tcBorders>
              <w:top w:val="single" w:sz="2" w:space="0" w:color="auto"/>
              <w:bottom w:val="single" w:sz="2" w:space="0" w:color="auto"/>
            </w:tcBorders>
            <w:shd w:val="clear" w:color="auto" w:fill="CCC0D9"/>
            <w:vAlign w:val="center"/>
          </w:tcPr>
          <w:p w14:paraId="6E47A123" w14:textId="77777777" w:rsidR="00200F48" w:rsidRPr="00200F48" w:rsidRDefault="00200F48" w:rsidP="00200F48">
            <w:pPr>
              <w:spacing w:before="120" w:after="120" w:line="360" w:lineRule="auto"/>
              <w:rPr>
                <w:rFonts w:ascii="Arial" w:hAnsi="Arial" w:cs="Arial"/>
                <w:b/>
              </w:rPr>
            </w:pPr>
            <w:r w:rsidRPr="00200F48">
              <w:rPr>
                <w:rFonts w:ascii="Arial" w:hAnsi="Arial" w:cs="Arial"/>
                <w:b/>
              </w:rPr>
              <w:t>TAK</w:t>
            </w:r>
          </w:p>
        </w:tc>
        <w:tc>
          <w:tcPr>
            <w:tcW w:w="1746" w:type="dxa"/>
            <w:tcBorders>
              <w:top w:val="single" w:sz="2" w:space="0" w:color="auto"/>
              <w:bottom w:val="single" w:sz="2" w:space="0" w:color="auto"/>
            </w:tcBorders>
            <w:vAlign w:val="center"/>
          </w:tcPr>
          <w:p w14:paraId="4CFDAB95" w14:textId="77777777" w:rsidR="00200F48" w:rsidRPr="00200F48" w:rsidRDefault="00200F48" w:rsidP="00200F48">
            <w:pPr>
              <w:spacing w:before="120" w:after="120" w:line="360" w:lineRule="auto"/>
              <w:rPr>
                <w:rFonts w:ascii="Arial" w:hAnsi="Arial" w:cs="Arial"/>
                <w:b/>
              </w:rPr>
            </w:pPr>
          </w:p>
        </w:tc>
        <w:tc>
          <w:tcPr>
            <w:tcW w:w="0" w:type="auto"/>
            <w:tcBorders>
              <w:top w:val="single" w:sz="2" w:space="0" w:color="auto"/>
              <w:bottom w:val="single" w:sz="2" w:space="0" w:color="auto"/>
            </w:tcBorders>
            <w:shd w:val="clear" w:color="auto" w:fill="CCC0D9"/>
            <w:vAlign w:val="center"/>
          </w:tcPr>
          <w:p w14:paraId="3AAC5450" w14:textId="77777777" w:rsidR="00200F48" w:rsidRPr="00200F48" w:rsidRDefault="00200F48" w:rsidP="00200F48">
            <w:pPr>
              <w:spacing w:before="120" w:after="120" w:line="360" w:lineRule="auto"/>
              <w:rPr>
                <w:rFonts w:ascii="Arial" w:hAnsi="Arial" w:cs="Arial"/>
                <w:b/>
              </w:rPr>
            </w:pPr>
            <w:r w:rsidRPr="00200F48">
              <w:rPr>
                <w:rFonts w:ascii="Arial" w:hAnsi="Arial" w:cs="Arial"/>
                <w:b/>
              </w:rPr>
              <w:t>NIE</w:t>
            </w:r>
          </w:p>
        </w:tc>
        <w:tc>
          <w:tcPr>
            <w:tcW w:w="0" w:type="auto"/>
            <w:tcBorders>
              <w:top w:val="single" w:sz="2" w:space="0" w:color="auto"/>
              <w:bottom w:val="single" w:sz="2" w:space="0" w:color="auto"/>
            </w:tcBorders>
            <w:vAlign w:val="center"/>
          </w:tcPr>
          <w:p w14:paraId="002B4B19" w14:textId="77777777" w:rsidR="00200F48" w:rsidRPr="00200F48" w:rsidRDefault="00200F48" w:rsidP="00200F48">
            <w:pPr>
              <w:spacing w:before="120" w:after="120" w:line="360" w:lineRule="auto"/>
              <w:jc w:val="center"/>
              <w:rPr>
                <w:rFonts w:ascii="Arial" w:hAnsi="Arial" w:cs="Arial"/>
                <w:b/>
              </w:rPr>
            </w:pPr>
            <w:r w:rsidRPr="00200F48">
              <w:rPr>
                <w:rFonts w:ascii="Arial" w:hAnsi="Arial" w:cs="Arial"/>
                <w:b/>
              </w:rPr>
              <w:t>X</w:t>
            </w:r>
          </w:p>
        </w:tc>
      </w:tr>
      <w:tr w:rsidR="00200F48" w:rsidRPr="00200F48" w14:paraId="394222A7" w14:textId="77777777" w:rsidTr="00B81D3B">
        <w:trPr>
          <w:trHeight w:val="434"/>
        </w:trPr>
        <w:tc>
          <w:tcPr>
            <w:tcW w:w="1843" w:type="dxa"/>
            <w:tcBorders>
              <w:top w:val="single" w:sz="2" w:space="0" w:color="auto"/>
              <w:bottom w:val="single" w:sz="2" w:space="0" w:color="auto"/>
            </w:tcBorders>
            <w:shd w:val="clear" w:color="auto" w:fill="CCC0D9"/>
            <w:vAlign w:val="center"/>
          </w:tcPr>
          <w:p w14:paraId="6B4B3050"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Podmioty, które </w:t>
            </w:r>
            <w:r w:rsidRPr="00200F48">
              <w:rPr>
                <w:rFonts w:ascii="Arial" w:hAnsi="Arial" w:cs="Arial"/>
              </w:rPr>
              <w:lastRenderedPageBreak/>
              <w:t xml:space="preserve">będą partnerami </w:t>
            </w:r>
            <w:r w:rsidRPr="00200F48">
              <w:rPr>
                <w:rFonts w:ascii="Arial" w:hAnsi="Arial" w:cs="Arial"/>
              </w:rPr>
              <w:br/>
              <w:t xml:space="preserve">w projekcie </w:t>
            </w:r>
            <w:r w:rsidRPr="00200F48">
              <w:rPr>
                <w:rFonts w:ascii="Arial" w:hAnsi="Arial" w:cs="Arial"/>
              </w:rPr>
              <w:br/>
              <w:t>i uzasadnienie ich wyboru</w:t>
            </w:r>
            <w:r w:rsidRPr="00200F48">
              <w:rPr>
                <w:rFonts w:ascii="Arial" w:hAnsi="Arial" w:cs="Arial"/>
                <w:vertAlign w:val="superscript"/>
              </w:rPr>
              <w:footnoteReference w:id="29"/>
            </w:r>
          </w:p>
        </w:tc>
        <w:tc>
          <w:tcPr>
            <w:tcW w:w="0" w:type="auto"/>
            <w:gridSpan w:val="5"/>
            <w:tcBorders>
              <w:top w:val="single" w:sz="2" w:space="0" w:color="auto"/>
              <w:bottom w:val="single" w:sz="2" w:space="0" w:color="auto"/>
            </w:tcBorders>
            <w:shd w:val="clear" w:color="auto" w:fill="FFFFFF"/>
            <w:vAlign w:val="center"/>
          </w:tcPr>
          <w:p w14:paraId="3E896DB2" w14:textId="77777777" w:rsidR="00200F48" w:rsidRPr="00200F48" w:rsidRDefault="00200F48" w:rsidP="00200F48">
            <w:pPr>
              <w:spacing w:before="120" w:after="120" w:line="360" w:lineRule="auto"/>
              <w:rPr>
                <w:rFonts w:ascii="Arial" w:hAnsi="Arial" w:cs="Arial"/>
                <w:b/>
              </w:rPr>
            </w:pPr>
            <w:r w:rsidRPr="00200F48">
              <w:rPr>
                <w:rFonts w:ascii="Arial" w:hAnsi="Arial" w:cs="Arial"/>
                <w:b/>
              </w:rPr>
              <w:lastRenderedPageBreak/>
              <w:t>Nie dotyczy</w:t>
            </w:r>
          </w:p>
        </w:tc>
      </w:tr>
      <w:tr w:rsidR="00200F48" w:rsidRPr="00200F48" w14:paraId="584D7254" w14:textId="77777777" w:rsidTr="00B81D3B">
        <w:trPr>
          <w:trHeight w:val="434"/>
        </w:trPr>
        <w:tc>
          <w:tcPr>
            <w:tcW w:w="1843" w:type="dxa"/>
            <w:tcBorders>
              <w:top w:val="single" w:sz="2" w:space="0" w:color="auto"/>
              <w:bottom w:val="single" w:sz="2" w:space="0" w:color="auto"/>
            </w:tcBorders>
            <w:shd w:val="clear" w:color="auto" w:fill="CCC0D9"/>
            <w:vAlign w:val="center"/>
          </w:tcPr>
          <w:p w14:paraId="3938241B" w14:textId="77777777" w:rsidR="00200F48" w:rsidRPr="00200F48" w:rsidRDefault="00200F48" w:rsidP="00200F48">
            <w:pPr>
              <w:spacing w:before="120" w:after="120" w:line="360" w:lineRule="auto"/>
              <w:rPr>
                <w:rFonts w:ascii="Arial" w:hAnsi="Arial" w:cs="Arial"/>
              </w:rPr>
            </w:pPr>
            <w:r w:rsidRPr="00200F48">
              <w:rPr>
                <w:rFonts w:ascii="Arial" w:hAnsi="Arial" w:cs="Arial"/>
              </w:rPr>
              <w:lastRenderedPageBreak/>
              <w:t>Czy projekt będzie projektem grantowym?</w:t>
            </w:r>
          </w:p>
        </w:tc>
        <w:tc>
          <w:tcPr>
            <w:tcW w:w="3816" w:type="dxa"/>
            <w:gridSpan w:val="2"/>
            <w:tcBorders>
              <w:top w:val="single" w:sz="2" w:space="0" w:color="auto"/>
              <w:bottom w:val="single" w:sz="2" w:space="0" w:color="auto"/>
            </w:tcBorders>
            <w:shd w:val="clear" w:color="auto" w:fill="CCC0D9"/>
            <w:vAlign w:val="center"/>
          </w:tcPr>
          <w:p w14:paraId="39CDE591" w14:textId="77777777" w:rsidR="00200F48" w:rsidRPr="00200F48" w:rsidRDefault="00200F48" w:rsidP="00200F48">
            <w:pPr>
              <w:spacing w:before="120" w:after="120" w:line="360" w:lineRule="auto"/>
              <w:rPr>
                <w:rFonts w:ascii="Arial" w:hAnsi="Arial" w:cs="Arial"/>
                <w:b/>
              </w:rPr>
            </w:pPr>
            <w:r w:rsidRPr="00200F48">
              <w:rPr>
                <w:rFonts w:ascii="Arial" w:hAnsi="Arial" w:cs="Arial"/>
                <w:b/>
              </w:rPr>
              <w:t>TAK</w:t>
            </w:r>
          </w:p>
        </w:tc>
        <w:tc>
          <w:tcPr>
            <w:tcW w:w="1746" w:type="dxa"/>
            <w:tcBorders>
              <w:top w:val="single" w:sz="2" w:space="0" w:color="auto"/>
              <w:bottom w:val="single" w:sz="2" w:space="0" w:color="auto"/>
            </w:tcBorders>
            <w:shd w:val="clear" w:color="auto" w:fill="FFFFFF"/>
            <w:vAlign w:val="center"/>
          </w:tcPr>
          <w:p w14:paraId="2AECC9A3" w14:textId="77777777" w:rsidR="00200F48" w:rsidRPr="00200F48" w:rsidRDefault="00200F48" w:rsidP="00200F48">
            <w:pPr>
              <w:spacing w:before="120" w:after="120" w:line="360" w:lineRule="auto"/>
              <w:rPr>
                <w:rFonts w:ascii="Arial" w:hAnsi="Arial" w:cs="Arial"/>
                <w:b/>
              </w:rPr>
            </w:pPr>
          </w:p>
        </w:tc>
        <w:tc>
          <w:tcPr>
            <w:tcW w:w="1477" w:type="dxa"/>
            <w:tcBorders>
              <w:top w:val="single" w:sz="2" w:space="0" w:color="auto"/>
              <w:bottom w:val="single" w:sz="2" w:space="0" w:color="auto"/>
            </w:tcBorders>
            <w:shd w:val="clear" w:color="auto" w:fill="CCC0D9"/>
            <w:vAlign w:val="center"/>
          </w:tcPr>
          <w:p w14:paraId="59004383" w14:textId="77777777" w:rsidR="00200F48" w:rsidRPr="00200F48" w:rsidRDefault="00200F48" w:rsidP="00200F48">
            <w:pPr>
              <w:spacing w:before="120" w:after="120" w:line="360" w:lineRule="auto"/>
              <w:rPr>
                <w:rFonts w:ascii="Arial" w:hAnsi="Arial" w:cs="Arial"/>
                <w:b/>
              </w:rPr>
            </w:pPr>
            <w:r w:rsidRPr="00200F48">
              <w:rPr>
                <w:rFonts w:ascii="Arial" w:hAnsi="Arial" w:cs="Arial"/>
                <w:b/>
              </w:rPr>
              <w:t>NIE</w:t>
            </w:r>
          </w:p>
        </w:tc>
        <w:tc>
          <w:tcPr>
            <w:tcW w:w="0" w:type="auto"/>
            <w:tcBorders>
              <w:top w:val="single" w:sz="2" w:space="0" w:color="auto"/>
              <w:bottom w:val="single" w:sz="2" w:space="0" w:color="auto"/>
            </w:tcBorders>
            <w:shd w:val="clear" w:color="auto" w:fill="FFFFFF"/>
            <w:vAlign w:val="center"/>
          </w:tcPr>
          <w:p w14:paraId="7A2AD57F" w14:textId="77777777" w:rsidR="00200F48" w:rsidRPr="00200F48" w:rsidRDefault="00200F48" w:rsidP="00200F48">
            <w:pPr>
              <w:spacing w:before="120" w:after="120" w:line="360" w:lineRule="auto"/>
              <w:jc w:val="center"/>
              <w:rPr>
                <w:rFonts w:ascii="Arial" w:hAnsi="Arial" w:cs="Arial"/>
                <w:b/>
              </w:rPr>
            </w:pPr>
            <w:r w:rsidRPr="00200F48">
              <w:rPr>
                <w:rFonts w:ascii="Arial" w:hAnsi="Arial" w:cs="Arial"/>
                <w:b/>
              </w:rPr>
              <w:t>X</w:t>
            </w:r>
          </w:p>
        </w:tc>
      </w:tr>
      <w:tr w:rsidR="00200F48" w:rsidRPr="00200F48" w14:paraId="6ABD4485" w14:textId="77777777" w:rsidTr="00B81D3B">
        <w:trPr>
          <w:trHeight w:val="434"/>
        </w:trPr>
        <w:tc>
          <w:tcPr>
            <w:tcW w:w="1843" w:type="dxa"/>
            <w:tcBorders>
              <w:top w:val="single" w:sz="2" w:space="0" w:color="auto"/>
              <w:bottom w:val="single" w:sz="2" w:space="0" w:color="auto"/>
            </w:tcBorders>
            <w:shd w:val="clear" w:color="auto" w:fill="CCC0D9"/>
            <w:vAlign w:val="center"/>
          </w:tcPr>
          <w:p w14:paraId="2E27F0D6"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Przewidywany termin </w:t>
            </w:r>
            <w:r w:rsidRPr="00200F48">
              <w:rPr>
                <w:rFonts w:ascii="Arial" w:hAnsi="Arial" w:cs="Arial"/>
              </w:rPr>
              <w:br/>
              <w:t xml:space="preserve">złożenia wniosku </w:t>
            </w:r>
            <w:r w:rsidRPr="00200F48">
              <w:rPr>
                <w:rFonts w:ascii="Arial" w:hAnsi="Arial" w:cs="Arial"/>
              </w:rPr>
              <w:br/>
              <w:t>o dofinansowanie</w:t>
            </w:r>
            <w:r w:rsidRPr="00200F48">
              <w:rPr>
                <w:rFonts w:ascii="Arial" w:hAnsi="Arial" w:cs="Arial"/>
              </w:rPr>
              <w:br/>
              <w:t>(kwartał albo miesiąc oraz rok)</w:t>
            </w:r>
          </w:p>
        </w:tc>
        <w:tc>
          <w:tcPr>
            <w:tcW w:w="0" w:type="auto"/>
            <w:gridSpan w:val="5"/>
            <w:tcBorders>
              <w:top w:val="single" w:sz="2" w:space="0" w:color="auto"/>
              <w:bottom w:val="single" w:sz="2" w:space="0" w:color="auto"/>
            </w:tcBorders>
            <w:vAlign w:val="center"/>
          </w:tcPr>
          <w:p w14:paraId="4D4EFFEF" w14:textId="77777777" w:rsidR="00200F48" w:rsidRPr="00200F48" w:rsidRDefault="00200F48" w:rsidP="00200F48">
            <w:pPr>
              <w:spacing w:before="120" w:after="120" w:line="360" w:lineRule="auto"/>
              <w:rPr>
                <w:rFonts w:ascii="Arial" w:hAnsi="Arial" w:cs="Arial"/>
                <w:b/>
              </w:rPr>
            </w:pPr>
            <w:r w:rsidRPr="00200F48">
              <w:rPr>
                <w:rFonts w:ascii="Arial" w:hAnsi="Arial" w:cs="Arial"/>
                <w:b/>
              </w:rPr>
              <w:t>IV kwartał 2020</w:t>
            </w:r>
          </w:p>
        </w:tc>
      </w:tr>
      <w:tr w:rsidR="00200F48" w:rsidRPr="00200F48" w14:paraId="14247B36" w14:textId="77777777" w:rsidTr="00B81D3B">
        <w:trPr>
          <w:trHeight w:val="469"/>
        </w:trPr>
        <w:tc>
          <w:tcPr>
            <w:tcW w:w="1843" w:type="dxa"/>
            <w:tcBorders>
              <w:top w:val="single" w:sz="2" w:space="0" w:color="auto"/>
              <w:bottom w:val="single" w:sz="12" w:space="0" w:color="auto"/>
            </w:tcBorders>
            <w:shd w:val="clear" w:color="auto" w:fill="CCC0D9"/>
            <w:vAlign w:val="center"/>
          </w:tcPr>
          <w:p w14:paraId="79FA9434"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Przewidywany okres realizacji projektu </w:t>
            </w:r>
          </w:p>
        </w:tc>
        <w:tc>
          <w:tcPr>
            <w:tcW w:w="3816" w:type="dxa"/>
            <w:gridSpan w:val="2"/>
            <w:tcBorders>
              <w:top w:val="single" w:sz="2" w:space="0" w:color="auto"/>
              <w:bottom w:val="single" w:sz="12" w:space="0" w:color="auto"/>
            </w:tcBorders>
            <w:shd w:val="clear" w:color="auto" w:fill="CCC0D9"/>
            <w:vAlign w:val="center"/>
          </w:tcPr>
          <w:p w14:paraId="1D1492B1" w14:textId="77777777" w:rsidR="00200F48" w:rsidRPr="00200F48" w:rsidRDefault="00200F48" w:rsidP="00200F48">
            <w:pPr>
              <w:spacing w:before="120" w:after="120" w:line="360" w:lineRule="auto"/>
              <w:rPr>
                <w:rFonts w:ascii="Arial" w:hAnsi="Arial" w:cs="Arial"/>
              </w:rPr>
            </w:pPr>
            <w:r w:rsidRPr="00200F48">
              <w:rPr>
                <w:rFonts w:ascii="Arial" w:hAnsi="Arial" w:cs="Arial"/>
              </w:rPr>
              <w:t>Data rozpoczęcia (miesiąc oraz rok)</w:t>
            </w:r>
          </w:p>
        </w:tc>
        <w:tc>
          <w:tcPr>
            <w:tcW w:w="1746" w:type="dxa"/>
            <w:tcBorders>
              <w:top w:val="single" w:sz="2" w:space="0" w:color="auto"/>
              <w:bottom w:val="single" w:sz="12" w:space="0" w:color="auto"/>
            </w:tcBorders>
            <w:vAlign w:val="center"/>
          </w:tcPr>
          <w:p w14:paraId="394C5742" w14:textId="77777777" w:rsidR="00200F48" w:rsidRPr="00200F48" w:rsidRDefault="00200F48" w:rsidP="00200F48">
            <w:pPr>
              <w:spacing w:before="120" w:after="120" w:line="360" w:lineRule="auto"/>
              <w:rPr>
                <w:rFonts w:ascii="Arial" w:hAnsi="Arial" w:cs="Arial"/>
              </w:rPr>
            </w:pPr>
            <w:r w:rsidRPr="00200F48">
              <w:rPr>
                <w:rFonts w:ascii="Arial" w:hAnsi="Arial" w:cs="Arial"/>
              </w:rPr>
              <w:t>09.2020</w:t>
            </w:r>
          </w:p>
        </w:tc>
        <w:tc>
          <w:tcPr>
            <w:tcW w:w="0" w:type="auto"/>
            <w:tcBorders>
              <w:top w:val="single" w:sz="2" w:space="0" w:color="auto"/>
              <w:bottom w:val="single" w:sz="12" w:space="0" w:color="auto"/>
            </w:tcBorders>
            <w:shd w:val="clear" w:color="auto" w:fill="CCC0D9"/>
            <w:vAlign w:val="center"/>
          </w:tcPr>
          <w:p w14:paraId="40BC5957" w14:textId="77777777" w:rsidR="00200F48" w:rsidRPr="00200F48" w:rsidRDefault="00200F48" w:rsidP="00200F48">
            <w:pPr>
              <w:spacing w:before="120" w:after="120" w:line="360" w:lineRule="auto"/>
              <w:rPr>
                <w:rFonts w:ascii="Arial" w:hAnsi="Arial" w:cs="Arial"/>
              </w:rPr>
            </w:pPr>
            <w:r w:rsidRPr="00200F48">
              <w:rPr>
                <w:rFonts w:ascii="Arial" w:hAnsi="Arial" w:cs="Arial"/>
              </w:rPr>
              <w:t>Data zakończenia (miesiąc oraz rok)</w:t>
            </w:r>
          </w:p>
        </w:tc>
        <w:tc>
          <w:tcPr>
            <w:tcW w:w="0" w:type="auto"/>
            <w:tcBorders>
              <w:top w:val="single" w:sz="2" w:space="0" w:color="auto"/>
              <w:bottom w:val="single" w:sz="12" w:space="0" w:color="auto"/>
            </w:tcBorders>
            <w:vAlign w:val="center"/>
          </w:tcPr>
          <w:p w14:paraId="14BC3AB2" w14:textId="77777777" w:rsidR="00200F48" w:rsidRPr="00200F48" w:rsidRDefault="00200F48" w:rsidP="00200F48">
            <w:pPr>
              <w:spacing w:before="120" w:after="120" w:line="360" w:lineRule="auto"/>
              <w:rPr>
                <w:rFonts w:ascii="Arial" w:hAnsi="Arial" w:cs="Arial"/>
              </w:rPr>
            </w:pPr>
            <w:r w:rsidRPr="00200F48">
              <w:rPr>
                <w:rFonts w:ascii="Arial" w:hAnsi="Arial" w:cs="Arial"/>
              </w:rPr>
              <w:t>06.2023</w:t>
            </w:r>
          </w:p>
        </w:tc>
      </w:tr>
      <w:tr w:rsidR="00200F48" w:rsidRPr="00200F48" w14:paraId="0ADACBEA" w14:textId="77777777" w:rsidTr="00B81D3B">
        <w:trPr>
          <w:trHeight w:val="567"/>
        </w:trPr>
        <w:tc>
          <w:tcPr>
            <w:tcW w:w="9999" w:type="dxa"/>
            <w:gridSpan w:val="6"/>
            <w:tcBorders>
              <w:top w:val="single" w:sz="12" w:space="0" w:color="auto"/>
              <w:bottom w:val="single" w:sz="12" w:space="0" w:color="auto"/>
            </w:tcBorders>
            <w:shd w:val="clear" w:color="auto" w:fill="CCC0D9"/>
            <w:vAlign w:val="center"/>
          </w:tcPr>
          <w:p w14:paraId="5697711A" w14:textId="77777777" w:rsidR="00200F48" w:rsidRPr="00200F48" w:rsidRDefault="00200F48" w:rsidP="00200F48">
            <w:pPr>
              <w:spacing w:before="120" w:after="120" w:line="360" w:lineRule="auto"/>
              <w:rPr>
                <w:rFonts w:ascii="Arial" w:hAnsi="Arial" w:cs="Arial"/>
                <w:b/>
              </w:rPr>
            </w:pPr>
            <w:r w:rsidRPr="00200F48">
              <w:rPr>
                <w:rFonts w:ascii="Arial" w:hAnsi="Arial" w:cs="Arial"/>
                <w:b/>
              </w:rPr>
              <w:t>SZACOWANY BUDŻET PROJEKTU</w:t>
            </w:r>
          </w:p>
        </w:tc>
      </w:tr>
      <w:tr w:rsidR="00200F48" w:rsidRPr="00200F48" w14:paraId="1487C5BD" w14:textId="77777777" w:rsidTr="00B81D3B">
        <w:trPr>
          <w:trHeight w:val="567"/>
        </w:trPr>
        <w:tc>
          <w:tcPr>
            <w:tcW w:w="9999" w:type="dxa"/>
            <w:gridSpan w:val="6"/>
            <w:tcBorders>
              <w:top w:val="single" w:sz="12" w:space="0" w:color="auto"/>
              <w:bottom w:val="single" w:sz="2" w:space="0" w:color="auto"/>
            </w:tcBorders>
            <w:shd w:val="clear" w:color="auto" w:fill="CCC0D9"/>
            <w:vAlign w:val="center"/>
          </w:tcPr>
          <w:p w14:paraId="06CD7ED8" w14:textId="77777777" w:rsidR="00200F48" w:rsidRPr="00200F48" w:rsidRDefault="00200F48" w:rsidP="00200F48">
            <w:pPr>
              <w:spacing w:before="120" w:after="120" w:line="360" w:lineRule="auto"/>
              <w:rPr>
                <w:rFonts w:ascii="Arial" w:hAnsi="Arial" w:cs="Arial"/>
              </w:rPr>
            </w:pPr>
            <w:r w:rsidRPr="00200F48">
              <w:rPr>
                <w:rFonts w:ascii="Arial" w:hAnsi="Arial" w:cs="Arial"/>
              </w:rPr>
              <w:t>Szacowana kwota wydatków w projekcie w podziale na lata i ogółem (PLN)</w:t>
            </w:r>
          </w:p>
        </w:tc>
      </w:tr>
      <w:tr w:rsidR="00200F48" w:rsidRPr="00200F48" w14:paraId="40935958" w14:textId="77777777" w:rsidTr="00B81D3B">
        <w:trPr>
          <w:trHeight w:val="567"/>
        </w:trPr>
        <w:tc>
          <w:tcPr>
            <w:tcW w:w="1843" w:type="dxa"/>
            <w:tcBorders>
              <w:top w:val="single" w:sz="2" w:space="0" w:color="auto"/>
              <w:bottom w:val="single" w:sz="2" w:space="0" w:color="auto"/>
            </w:tcBorders>
            <w:shd w:val="clear" w:color="auto" w:fill="CCC0D9"/>
            <w:vAlign w:val="center"/>
          </w:tcPr>
          <w:p w14:paraId="37B9B003" w14:textId="77777777" w:rsidR="00200F48" w:rsidRPr="00200F48" w:rsidRDefault="00200F48" w:rsidP="00200F48">
            <w:pPr>
              <w:spacing w:before="120" w:after="120" w:line="360" w:lineRule="auto"/>
              <w:rPr>
                <w:rFonts w:ascii="Arial" w:hAnsi="Arial" w:cs="Arial"/>
              </w:rPr>
            </w:pPr>
            <w:proofErr w:type="gramStart"/>
            <w:r w:rsidRPr="00200F48">
              <w:rPr>
                <w:rFonts w:ascii="Arial" w:hAnsi="Arial" w:cs="Arial"/>
              </w:rPr>
              <w:t>w</w:t>
            </w:r>
            <w:proofErr w:type="gramEnd"/>
            <w:r w:rsidRPr="00200F48">
              <w:rPr>
                <w:rFonts w:ascii="Arial" w:hAnsi="Arial" w:cs="Arial"/>
              </w:rPr>
              <w:t xml:space="preserve"> roku 2020</w:t>
            </w:r>
          </w:p>
        </w:tc>
        <w:tc>
          <w:tcPr>
            <w:tcW w:w="2200" w:type="dxa"/>
            <w:tcBorders>
              <w:top w:val="single" w:sz="2" w:space="0" w:color="auto"/>
              <w:bottom w:val="single" w:sz="2" w:space="0" w:color="auto"/>
            </w:tcBorders>
            <w:shd w:val="clear" w:color="auto" w:fill="CCC0D9"/>
            <w:vAlign w:val="center"/>
          </w:tcPr>
          <w:p w14:paraId="69A24073" w14:textId="77777777" w:rsidR="00200F48" w:rsidRPr="00200F48" w:rsidRDefault="00200F48" w:rsidP="00200F48">
            <w:pPr>
              <w:spacing w:before="120" w:after="120" w:line="360" w:lineRule="auto"/>
              <w:rPr>
                <w:rFonts w:ascii="Arial" w:hAnsi="Arial" w:cs="Arial"/>
              </w:rPr>
            </w:pPr>
            <w:proofErr w:type="gramStart"/>
            <w:r w:rsidRPr="00200F48">
              <w:rPr>
                <w:rFonts w:ascii="Arial" w:hAnsi="Arial" w:cs="Arial"/>
              </w:rPr>
              <w:t>w</w:t>
            </w:r>
            <w:proofErr w:type="gramEnd"/>
            <w:r w:rsidRPr="00200F48">
              <w:rPr>
                <w:rFonts w:ascii="Arial" w:hAnsi="Arial" w:cs="Arial"/>
              </w:rPr>
              <w:t xml:space="preserve"> roku 2021</w:t>
            </w:r>
          </w:p>
        </w:tc>
        <w:tc>
          <w:tcPr>
            <w:tcW w:w="1616" w:type="dxa"/>
            <w:tcBorders>
              <w:top w:val="single" w:sz="2" w:space="0" w:color="auto"/>
              <w:bottom w:val="single" w:sz="2" w:space="0" w:color="auto"/>
            </w:tcBorders>
            <w:shd w:val="clear" w:color="auto" w:fill="CCC0D9"/>
            <w:vAlign w:val="center"/>
          </w:tcPr>
          <w:p w14:paraId="108F620F" w14:textId="77777777" w:rsidR="00200F48" w:rsidRPr="00200F48" w:rsidRDefault="00200F48" w:rsidP="00200F48">
            <w:pPr>
              <w:spacing w:before="120" w:after="120" w:line="360" w:lineRule="auto"/>
              <w:rPr>
                <w:rFonts w:ascii="Arial" w:hAnsi="Arial" w:cs="Arial"/>
              </w:rPr>
            </w:pPr>
            <w:proofErr w:type="gramStart"/>
            <w:r w:rsidRPr="00200F48">
              <w:rPr>
                <w:rFonts w:ascii="Arial" w:hAnsi="Arial" w:cs="Arial"/>
              </w:rPr>
              <w:t>w</w:t>
            </w:r>
            <w:proofErr w:type="gramEnd"/>
            <w:r w:rsidRPr="00200F48">
              <w:rPr>
                <w:rFonts w:ascii="Arial" w:hAnsi="Arial" w:cs="Arial"/>
              </w:rPr>
              <w:t xml:space="preserve"> roku 2022</w:t>
            </w:r>
          </w:p>
        </w:tc>
        <w:tc>
          <w:tcPr>
            <w:tcW w:w="1746" w:type="dxa"/>
            <w:tcBorders>
              <w:top w:val="single" w:sz="2" w:space="0" w:color="auto"/>
              <w:bottom w:val="single" w:sz="2" w:space="0" w:color="auto"/>
            </w:tcBorders>
            <w:shd w:val="clear" w:color="auto" w:fill="CCC0D9"/>
            <w:vAlign w:val="center"/>
          </w:tcPr>
          <w:p w14:paraId="67B18A9A" w14:textId="77777777" w:rsidR="00200F48" w:rsidRPr="00200F48" w:rsidRDefault="00200F48" w:rsidP="00200F48">
            <w:pPr>
              <w:spacing w:before="120" w:after="120" w:line="360" w:lineRule="auto"/>
              <w:rPr>
                <w:rFonts w:ascii="Arial" w:hAnsi="Arial" w:cs="Arial"/>
              </w:rPr>
            </w:pPr>
            <w:proofErr w:type="gramStart"/>
            <w:r w:rsidRPr="00200F48">
              <w:rPr>
                <w:rFonts w:ascii="Arial" w:hAnsi="Arial" w:cs="Arial"/>
              </w:rPr>
              <w:t>w</w:t>
            </w:r>
            <w:proofErr w:type="gramEnd"/>
            <w:r w:rsidRPr="00200F48">
              <w:rPr>
                <w:rFonts w:ascii="Arial" w:hAnsi="Arial" w:cs="Arial"/>
              </w:rPr>
              <w:t xml:space="preserve"> roku 2023</w:t>
            </w:r>
          </w:p>
        </w:tc>
        <w:tc>
          <w:tcPr>
            <w:tcW w:w="2594" w:type="dxa"/>
            <w:gridSpan w:val="2"/>
            <w:tcBorders>
              <w:top w:val="single" w:sz="2" w:space="0" w:color="auto"/>
              <w:bottom w:val="single" w:sz="2" w:space="0" w:color="auto"/>
            </w:tcBorders>
            <w:shd w:val="clear" w:color="auto" w:fill="CCC0D9"/>
            <w:vAlign w:val="center"/>
          </w:tcPr>
          <w:p w14:paraId="211F15C8" w14:textId="77777777" w:rsidR="00200F48" w:rsidRPr="00200F48" w:rsidRDefault="00200F48" w:rsidP="00200F48">
            <w:pPr>
              <w:spacing w:before="120" w:after="120" w:line="360" w:lineRule="auto"/>
              <w:rPr>
                <w:rFonts w:ascii="Arial" w:hAnsi="Arial" w:cs="Arial"/>
                <w:b/>
                <w:bCs/>
              </w:rPr>
            </w:pPr>
            <w:proofErr w:type="gramStart"/>
            <w:r w:rsidRPr="00200F48">
              <w:rPr>
                <w:rFonts w:ascii="Arial" w:hAnsi="Arial" w:cs="Arial"/>
                <w:b/>
                <w:bCs/>
              </w:rPr>
              <w:t>ogółem</w:t>
            </w:r>
            <w:proofErr w:type="gramEnd"/>
          </w:p>
        </w:tc>
      </w:tr>
      <w:tr w:rsidR="00200F48" w:rsidRPr="00200F48" w14:paraId="31C7497C" w14:textId="77777777" w:rsidTr="00B81D3B">
        <w:trPr>
          <w:trHeight w:val="567"/>
        </w:trPr>
        <w:tc>
          <w:tcPr>
            <w:tcW w:w="1843" w:type="dxa"/>
            <w:tcBorders>
              <w:top w:val="single" w:sz="2" w:space="0" w:color="auto"/>
              <w:bottom w:val="single" w:sz="2" w:space="0" w:color="auto"/>
            </w:tcBorders>
            <w:shd w:val="clear" w:color="auto" w:fill="FFFFFF"/>
            <w:vAlign w:val="center"/>
          </w:tcPr>
          <w:p w14:paraId="6FD76DF1" w14:textId="77777777" w:rsidR="00200F48" w:rsidRPr="00200F48" w:rsidRDefault="00200F48" w:rsidP="00200F48">
            <w:pPr>
              <w:spacing w:before="120" w:after="120" w:line="360" w:lineRule="auto"/>
              <w:rPr>
                <w:rFonts w:ascii="Arial" w:hAnsi="Arial" w:cs="Arial"/>
              </w:rPr>
            </w:pPr>
            <w:r w:rsidRPr="00200F48">
              <w:rPr>
                <w:rFonts w:ascii="Arial" w:hAnsi="Arial" w:cs="Arial"/>
              </w:rPr>
              <w:t>500 000 zł</w:t>
            </w:r>
          </w:p>
        </w:tc>
        <w:tc>
          <w:tcPr>
            <w:tcW w:w="2200" w:type="dxa"/>
            <w:tcBorders>
              <w:top w:val="single" w:sz="2" w:space="0" w:color="auto"/>
              <w:bottom w:val="single" w:sz="2" w:space="0" w:color="auto"/>
            </w:tcBorders>
            <w:shd w:val="clear" w:color="auto" w:fill="FFFFFF"/>
            <w:vAlign w:val="center"/>
          </w:tcPr>
          <w:p w14:paraId="36A1A2C0" w14:textId="77777777" w:rsidR="00200F48" w:rsidRPr="00200F48" w:rsidRDefault="00200F48" w:rsidP="00200F48">
            <w:pPr>
              <w:spacing w:before="120" w:after="120" w:line="360" w:lineRule="auto"/>
              <w:rPr>
                <w:rFonts w:ascii="Arial" w:hAnsi="Arial" w:cs="Arial"/>
              </w:rPr>
            </w:pPr>
            <w:r w:rsidRPr="00200F48">
              <w:rPr>
                <w:rFonts w:ascii="Arial" w:hAnsi="Arial" w:cs="Arial"/>
              </w:rPr>
              <w:t>4 200 000 zł</w:t>
            </w:r>
          </w:p>
        </w:tc>
        <w:tc>
          <w:tcPr>
            <w:tcW w:w="1616" w:type="dxa"/>
            <w:tcBorders>
              <w:top w:val="single" w:sz="2" w:space="0" w:color="auto"/>
              <w:bottom w:val="single" w:sz="2" w:space="0" w:color="auto"/>
            </w:tcBorders>
            <w:shd w:val="clear" w:color="auto" w:fill="FFFFFF"/>
            <w:vAlign w:val="center"/>
          </w:tcPr>
          <w:p w14:paraId="71ED5E50"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2 800 000 zł </w:t>
            </w:r>
          </w:p>
        </w:tc>
        <w:tc>
          <w:tcPr>
            <w:tcW w:w="1746" w:type="dxa"/>
            <w:tcBorders>
              <w:top w:val="single" w:sz="2" w:space="0" w:color="auto"/>
              <w:bottom w:val="single" w:sz="2" w:space="0" w:color="auto"/>
            </w:tcBorders>
            <w:shd w:val="clear" w:color="auto" w:fill="FFFFFF"/>
            <w:vAlign w:val="center"/>
          </w:tcPr>
          <w:p w14:paraId="3A48169A"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2 500 000 zł </w:t>
            </w:r>
          </w:p>
        </w:tc>
        <w:tc>
          <w:tcPr>
            <w:tcW w:w="2594" w:type="dxa"/>
            <w:gridSpan w:val="2"/>
            <w:tcBorders>
              <w:top w:val="single" w:sz="2" w:space="0" w:color="auto"/>
              <w:bottom w:val="single" w:sz="2" w:space="0" w:color="auto"/>
            </w:tcBorders>
            <w:shd w:val="clear" w:color="auto" w:fill="FFFFFF"/>
            <w:vAlign w:val="center"/>
          </w:tcPr>
          <w:p w14:paraId="7A97EF61" w14:textId="77777777" w:rsidR="00200F48" w:rsidRPr="00200F48" w:rsidRDefault="00200F48" w:rsidP="00200F48">
            <w:pPr>
              <w:spacing w:before="120" w:after="120" w:line="360" w:lineRule="auto"/>
              <w:rPr>
                <w:rFonts w:ascii="Arial" w:hAnsi="Arial" w:cs="Arial"/>
              </w:rPr>
            </w:pPr>
            <w:r w:rsidRPr="00200F48">
              <w:rPr>
                <w:rFonts w:ascii="Arial" w:hAnsi="Arial" w:cs="Arial"/>
              </w:rPr>
              <w:t>10 000 000 zł</w:t>
            </w:r>
          </w:p>
        </w:tc>
      </w:tr>
      <w:tr w:rsidR="00200F48" w:rsidRPr="00200F48" w14:paraId="4C59A800" w14:textId="77777777" w:rsidTr="00B81D3B">
        <w:trPr>
          <w:trHeight w:val="567"/>
        </w:trPr>
        <w:tc>
          <w:tcPr>
            <w:tcW w:w="9999" w:type="dxa"/>
            <w:gridSpan w:val="6"/>
            <w:tcBorders>
              <w:top w:val="single" w:sz="2" w:space="0" w:color="auto"/>
              <w:bottom w:val="single" w:sz="2" w:space="0" w:color="auto"/>
            </w:tcBorders>
            <w:shd w:val="clear" w:color="auto" w:fill="CCC0D9"/>
            <w:vAlign w:val="center"/>
          </w:tcPr>
          <w:p w14:paraId="455AED98" w14:textId="77777777" w:rsidR="00200F48" w:rsidRPr="00200F48" w:rsidRDefault="00200F48" w:rsidP="00200F48">
            <w:pPr>
              <w:spacing w:before="120" w:after="120" w:line="360" w:lineRule="auto"/>
              <w:rPr>
                <w:rFonts w:ascii="Arial" w:hAnsi="Arial" w:cs="Arial"/>
              </w:rPr>
            </w:pPr>
            <w:r w:rsidRPr="00200F48">
              <w:rPr>
                <w:rFonts w:ascii="Arial" w:hAnsi="Arial" w:cs="Arial"/>
              </w:rPr>
              <w:t>Szacowany wkład własny beneficjenta (PLN)</w:t>
            </w:r>
          </w:p>
        </w:tc>
      </w:tr>
      <w:tr w:rsidR="00200F48" w:rsidRPr="00200F48" w14:paraId="0DFD3C71" w14:textId="77777777" w:rsidTr="00B81D3B">
        <w:trPr>
          <w:trHeight w:val="567"/>
        </w:trPr>
        <w:tc>
          <w:tcPr>
            <w:tcW w:w="1843" w:type="dxa"/>
            <w:tcBorders>
              <w:top w:val="single" w:sz="2" w:space="0" w:color="auto"/>
              <w:bottom w:val="single" w:sz="2" w:space="0" w:color="auto"/>
            </w:tcBorders>
            <w:shd w:val="clear" w:color="auto" w:fill="CCC0D9"/>
            <w:vAlign w:val="center"/>
          </w:tcPr>
          <w:p w14:paraId="268EE24A" w14:textId="77777777" w:rsidR="00200F48" w:rsidRPr="00200F48" w:rsidRDefault="00200F48" w:rsidP="00200F48">
            <w:pPr>
              <w:spacing w:before="120" w:after="120" w:line="360" w:lineRule="auto"/>
              <w:rPr>
                <w:rFonts w:ascii="Arial" w:hAnsi="Arial" w:cs="Arial"/>
              </w:rPr>
            </w:pPr>
            <w:r w:rsidRPr="00200F48">
              <w:rPr>
                <w:rFonts w:ascii="Arial" w:hAnsi="Arial" w:cs="Arial"/>
              </w:rPr>
              <w:t>TAK</w:t>
            </w:r>
            <w:r w:rsidRPr="00200F48" w:rsidDel="00053FC2">
              <w:rPr>
                <w:rFonts w:ascii="Arial" w:hAnsi="Arial" w:cs="Arial"/>
              </w:rPr>
              <w:t xml:space="preserve"> </w:t>
            </w:r>
          </w:p>
        </w:tc>
        <w:tc>
          <w:tcPr>
            <w:tcW w:w="5562" w:type="dxa"/>
            <w:gridSpan w:val="3"/>
            <w:tcBorders>
              <w:top w:val="single" w:sz="2" w:space="0" w:color="auto"/>
              <w:bottom w:val="single" w:sz="2" w:space="0" w:color="auto"/>
            </w:tcBorders>
            <w:shd w:val="clear" w:color="auto" w:fill="FFFFFF"/>
            <w:vAlign w:val="center"/>
          </w:tcPr>
          <w:p w14:paraId="528C0600"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 </w:t>
            </w:r>
            <w:r w:rsidRPr="00200F48">
              <w:rPr>
                <w:rFonts w:ascii="Arial" w:hAnsi="Arial" w:cs="Arial"/>
              </w:rPr>
              <w:lastRenderedPageBreak/>
              <w:t>(PLN)</w:t>
            </w:r>
          </w:p>
        </w:tc>
        <w:tc>
          <w:tcPr>
            <w:tcW w:w="1477" w:type="dxa"/>
            <w:tcBorders>
              <w:top w:val="single" w:sz="2" w:space="0" w:color="auto"/>
              <w:bottom w:val="single" w:sz="2" w:space="0" w:color="auto"/>
            </w:tcBorders>
            <w:shd w:val="clear" w:color="auto" w:fill="CCC0D9"/>
            <w:vAlign w:val="center"/>
          </w:tcPr>
          <w:p w14:paraId="60CF1506" w14:textId="77777777" w:rsidR="00200F48" w:rsidRPr="00200F48" w:rsidRDefault="00200F48" w:rsidP="00200F48">
            <w:pPr>
              <w:spacing w:before="120" w:after="120" w:line="360" w:lineRule="auto"/>
              <w:rPr>
                <w:rFonts w:ascii="Arial" w:hAnsi="Arial" w:cs="Arial"/>
              </w:rPr>
            </w:pPr>
            <w:r w:rsidRPr="00200F48">
              <w:rPr>
                <w:rFonts w:ascii="Arial" w:hAnsi="Arial" w:cs="Arial"/>
              </w:rPr>
              <w:lastRenderedPageBreak/>
              <w:t>NIE</w:t>
            </w:r>
          </w:p>
        </w:tc>
        <w:tc>
          <w:tcPr>
            <w:tcW w:w="0" w:type="auto"/>
            <w:tcBorders>
              <w:top w:val="single" w:sz="2" w:space="0" w:color="auto"/>
              <w:bottom w:val="single" w:sz="2" w:space="0" w:color="auto"/>
            </w:tcBorders>
            <w:shd w:val="clear" w:color="auto" w:fill="FFFFFF"/>
            <w:vAlign w:val="center"/>
          </w:tcPr>
          <w:p w14:paraId="03667E05" w14:textId="77777777" w:rsidR="00200F48" w:rsidRPr="00200F48" w:rsidRDefault="00200F48" w:rsidP="00200F48">
            <w:pPr>
              <w:spacing w:before="120" w:after="120" w:line="360" w:lineRule="auto"/>
              <w:jc w:val="center"/>
              <w:rPr>
                <w:rFonts w:ascii="Arial" w:hAnsi="Arial" w:cs="Arial"/>
              </w:rPr>
            </w:pPr>
            <w:r w:rsidRPr="00200F48">
              <w:rPr>
                <w:rFonts w:ascii="Arial" w:hAnsi="Arial" w:cs="Arial"/>
              </w:rPr>
              <w:t>X</w:t>
            </w:r>
          </w:p>
        </w:tc>
      </w:tr>
      <w:tr w:rsidR="00200F48" w:rsidRPr="00200F48" w14:paraId="1275472C" w14:textId="77777777" w:rsidTr="00B81D3B">
        <w:trPr>
          <w:trHeight w:val="567"/>
        </w:trPr>
        <w:tc>
          <w:tcPr>
            <w:tcW w:w="9999" w:type="dxa"/>
            <w:gridSpan w:val="6"/>
            <w:tcBorders>
              <w:top w:val="single" w:sz="2" w:space="0" w:color="auto"/>
              <w:bottom w:val="single" w:sz="2" w:space="0" w:color="auto"/>
            </w:tcBorders>
            <w:shd w:val="clear" w:color="auto" w:fill="CCC0D9"/>
            <w:vAlign w:val="center"/>
          </w:tcPr>
          <w:p w14:paraId="47047E7C" w14:textId="77777777" w:rsidR="00200F48" w:rsidRPr="00200F48" w:rsidRDefault="00200F48" w:rsidP="00200F48">
            <w:pPr>
              <w:spacing w:before="120" w:after="120" w:line="360" w:lineRule="auto"/>
              <w:rPr>
                <w:rFonts w:ascii="Arial" w:hAnsi="Arial" w:cs="Arial"/>
              </w:rPr>
            </w:pPr>
            <w:r w:rsidRPr="00200F48">
              <w:rPr>
                <w:rFonts w:ascii="Arial" w:hAnsi="Arial" w:cs="Arial"/>
              </w:rPr>
              <w:lastRenderedPageBreak/>
              <w:t>Szacowany wkład UE (PLN)</w:t>
            </w:r>
          </w:p>
        </w:tc>
      </w:tr>
      <w:tr w:rsidR="00200F48" w:rsidRPr="00200F48" w14:paraId="5B60976D" w14:textId="77777777" w:rsidTr="00B81D3B">
        <w:trPr>
          <w:trHeight w:val="567"/>
        </w:trPr>
        <w:tc>
          <w:tcPr>
            <w:tcW w:w="9999" w:type="dxa"/>
            <w:gridSpan w:val="6"/>
            <w:tcBorders>
              <w:top w:val="single" w:sz="2" w:space="0" w:color="auto"/>
              <w:bottom w:val="single" w:sz="12" w:space="0" w:color="auto"/>
            </w:tcBorders>
            <w:shd w:val="clear" w:color="auto" w:fill="FFFFFF"/>
            <w:vAlign w:val="center"/>
          </w:tcPr>
          <w:p w14:paraId="38381A95" w14:textId="77777777" w:rsidR="00200F48" w:rsidRPr="00200F48" w:rsidRDefault="00200F48" w:rsidP="00200F48">
            <w:pPr>
              <w:spacing w:before="120" w:after="120" w:line="360" w:lineRule="auto"/>
              <w:rPr>
                <w:rFonts w:ascii="Arial" w:hAnsi="Arial" w:cs="Arial"/>
              </w:rPr>
            </w:pPr>
            <w:r w:rsidRPr="00200F48">
              <w:rPr>
                <w:rFonts w:ascii="Arial" w:hAnsi="Arial" w:cs="Arial"/>
              </w:rPr>
              <w:t>8 428 000 zł</w:t>
            </w:r>
          </w:p>
        </w:tc>
      </w:tr>
      <w:tr w:rsidR="00200F48" w:rsidRPr="00200F48" w14:paraId="01791710" w14:textId="77777777" w:rsidTr="00B81D3B">
        <w:trPr>
          <w:trHeight w:val="567"/>
        </w:trPr>
        <w:tc>
          <w:tcPr>
            <w:tcW w:w="9999" w:type="dxa"/>
            <w:gridSpan w:val="6"/>
            <w:tcBorders>
              <w:top w:val="single" w:sz="12" w:space="0" w:color="auto"/>
              <w:bottom w:val="single" w:sz="12" w:space="0" w:color="auto"/>
            </w:tcBorders>
            <w:shd w:val="clear" w:color="auto" w:fill="CCC0D9"/>
            <w:vAlign w:val="center"/>
          </w:tcPr>
          <w:p w14:paraId="239E0D83" w14:textId="77777777" w:rsidR="00200F48" w:rsidRPr="00200F48" w:rsidRDefault="00200F48" w:rsidP="00200F48">
            <w:pPr>
              <w:spacing w:before="120" w:after="120" w:line="360" w:lineRule="auto"/>
              <w:rPr>
                <w:rFonts w:ascii="Arial" w:hAnsi="Arial" w:cs="Arial"/>
                <w:b/>
              </w:rPr>
            </w:pPr>
            <w:r w:rsidRPr="00200F48">
              <w:rPr>
                <w:rFonts w:ascii="Arial" w:hAnsi="Arial" w:cs="Arial"/>
                <w:b/>
              </w:rPr>
              <w:t xml:space="preserve">OPIS PROJEKTU </w:t>
            </w:r>
          </w:p>
        </w:tc>
      </w:tr>
      <w:tr w:rsidR="00200F48" w:rsidRPr="00200F48" w14:paraId="61F3C81A" w14:textId="77777777" w:rsidTr="00B81D3B">
        <w:trPr>
          <w:trHeight w:val="567"/>
        </w:trPr>
        <w:tc>
          <w:tcPr>
            <w:tcW w:w="9999" w:type="dxa"/>
            <w:gridSpan w:val="6"/>
            <w:tcBorders>
              <w:top w:val="single" w:sz="12" w:space="0" w:color="auto"/>
              <w:bottom w:val="single" w:sz="4" w:space="0" w:color="auto"/>
            </w:tcBorders>
            <w:shd w:val="clear" w:color="auto" w:fill="CCC0D9"/>
            <w:vAlign w:val="center"/>
          </w:tcPr>
          <w:p w14:paraId="1D766455" w14:textId="77777777" w:rsidR="00200F48" w:rsidRPr="00200F48" w:rsidRDefault="00200F48" w:rsidP="00200F48">
            <w:pPr>
              <w:spacing w:before="120" w:after="120" w:line="360" w:lineRule="auto"/>
              <w:rPr>
                <w:rFonts w:ascii="Arial" w:hAnsi="Arial" w:cs="Arial"/>
              </w:rPr>
            </w:pPr>
            <w:r w:rsidRPr="00200F48">
              <w:rPr>
                <w:rFonts w:ascii="Arial" w:hAnsi="Arial" w:cs="Arial"/>
              </w:rPr>
              <w:t>Uzasadnienie realizacji projektu w trybie pozakonkursowym</w:t>
            </w:r>
            <w:r w:rsidRPr="00200F48">
              <w:rPr>
                <w:rFonts w:ascii="Arial" w:hAnsi="Arial" w:cs="Arial"/>
                <w:vertAlign w:val="superscript"/>
              </w:rPr>
              <w:footnoteReference w:id="30"/>
            </w:r>
          </w:p>
        </w:tc>
      </w:tr>
      <w:tr w:rsidR="00200F48" w:rsidRPr="00200F48" w14:paraId="1076E1CD" w14:textId="77777777" w:rsidTr="00B81D3B">
        <w:trPr>
          <w:trHeight w:val="567"/>
        </w:trPr>
        <w:tc>
          <w:tcPr>
            <w:tcW w:w="9999" w:type="dxa"/>
            <w:gridSpan w:val="6"/>
            <w:tcBorders>
              <w:top w:val="single" w:sz="4" w:space="0" w:color="auto"/>
              <w:bottom w:val="single" w:sz="4" w:space="0" w:color="auto"/>
            </w:tcBorders>
            <w:shd w:val="clear" w:color="auto" w:fill="auto"/>
            <w:vAlign w:val="center"/>
          </w:tcPr>
          <w:p w14:paraId="60506DC4"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Biorąc pod uwagę, że metodyki stanowią specyficzny akt kierownictwa wewnętrznego żaden podmiot spoza struktury organizacyjnej prokuratury nie jest właściwy do przygotowania i przyjęcia takiego dokumentu. Zgodnie z art. 13 § 1 ustawy Prawo o prokuraturze </w:t>
            </w:r>
            <w:r w:rsidRPr="00200F48">
              <w:rPr>
                <w:rFonts w:ascii="Arial" w:hAnsi="Arial" w:cs="Arial"/>
                <w:i/>
              </w:rPr>
              <w:t>Prokurator Generalny kieruje działalnością </w:t>
            </w:r>
            <w:bookmarkStart w:id="17" w:name="highlightHit_25"/>
            <w:bookmarkEnd w:id="17"/>
            <w:r w:rsidRPr="00200F48">
              <w:rPr>
                <w:rFonts w:ascii="Arial" w:hAnsi="Arial" w:cs="Arial"/>
                <w:i/>
              </w:rPr>
              <w:t>prokuratury osobiście lub za pośrednictwem Prokuratora Krajowego oraz pozostałych zastępców Prokuratora Generalnego, wydając zarządzenia, wytyczne i polecenia</w:t>
            </w:r>
            <w:r w:rsidRPr="00200F48">
              <w:rPr>
                <w:rFonts w:ascii="Arial" w:hAnsi="Arial" w:cs="Arial"/>
              </w:rPr>
              <w:t xml:space="preserve">. Zgodnie z art. 60 § 1 ustawy Prawo o prokuraturze </w:t>
            </w:r>
            <w:r w:rsidRPr="00200F48">
              <w:rPr>
                <w:rFonts w:ascii="Arial" w:hAnsi="Arial" w:cs="Arial"/>
                <w:i/>
              </w:rPr>
              <w:t>Wytyczne Prokuratora Generalnego, wydane na wniosek Prokuratora Krajowego, dotyczące metodyki prowadzenia postępowania przygotowawczego są wiążące dla wszystkich organów uprawnionych do prowadzenia postępowania przygotowawczego</w:t>
            </w:r>
            <w:r w:rsidRPr="00200F48">
              <w:rPr>
                <w:rFonts w:ascii="Arial" w:hAnsi="Arial" w:cs="Arial"/>
              </w:rPr>
              <w:t xml:space="preserve">. Ze wskazanych tu przepisów wynika, że organem wyłącznie właściwym dla przygotowania metodyki prowadzenia postępowania jest Prokurator Krajowy, a organem wyłącznie właściwym do jej przyjęcia jest Prokurator Generalny. </w:t>
            </w:r>
          </w:p>
          <w:p w14:paraId="088FD1F9" w14:textId="77777777" w:rsidR="00200F48" w:rsidRPr="00200F48" w:rsidRDefault="00200F48" w:rsidP="00200F48">
            <w:pPr>
              <w:spacing w:before="120" w:after="120" w:line="360" w:lineRule="auto"/>
              <w:rPr>
                <w:rFonts w:ascii="Arial" w:hAnsi="Arial" w:cs="Arial"/>
              </w:rPr>
            </w:pPr>
            <w:r w:rsidRPr="00200F48">
              <w:rPr>
                <w:rFonts w:ascii="Arial" w:hAnsi="Arial" w:cs="Arial"/>
              </w:rPr>
              <w:t>Ponadto żaden inny podmiot, poza jednostkami organizacyjnymi prokuratury, nie posiada kompleksowej wiedzy w zakresie praktycznego realizowania obowiązków służbowych przez prokuratorów oraz urzędników i innych pracowników prokuratury ani w zakresie sposobu funkcjonowania systemu informatycznego PROK-SYS, które to oprogramowanie jest własnością Prokuratury Krajowej i nie może być przedmiotem obrotu rynkowego. W projekcie uwzględniony został także komponent szkoleniowy. Realizacja ww. komponentu przez podmiot zewnętrzny musiałaby sprowadzać się do zatrudnienia przez taki podmiot pracowników jednostek organizacyjnych prokuratury, co byłoby działaniem wysoce nieefektywnym, zarówno pod względem kosztowym, jak i organizacyjnym.</w:t>
            </w:r>
          </w:p>
        </w:tc>
      </w:tr>
      <w:tr w:rsidR="00200F48" w:rsidRPr="00200F48" w14:paraId="7CD99D9C" w14:textId="77777777" w:rsidTr="00B81D3B">
        <w:trPr>
          <w:trHeight w:val="567"/>
        </w:trPr>
        <w:tc>
          <w:tcPr>
            <w:tcW w:w="9999" w:type="dxa"/>
            <w:gridSpan w:val="6"/>
            <w:tcBorders>
              <w:top w:val="single" w:sz="4" w:space="0" w:color="auto"/>
              <w:bottom w:val="single" w:sz="4" w:space="0" w:color="auto"/>
            </w:tcBorders>
            <w:shd w:val="clear" w:color="auto" w:fill="CCC0D9"/>
            <w:vAlign w:val="center"/>
          </w:tcPr>
          <w:p w14:paraId="3BC12C9F" w14:textId="77777777" w:rsidR="00200F48" w:rsidRPr="00200F48" w:rsidRDefault="00200F48" w:rsidP="00200F48">
            <w:pPr>
              <w:spacing w:before="120" w:after="120" w:line="360" w:lineRule="auto"/>
              <w:rPr>
                <w:rFonts w:ascii="Arial" w:hAnsi="Arial" w:cs="Arial"/>
              </w:rPr>
            </w:pPr>
            <w:r w:rsidRPr="00200F48">
              <w:rPr>
                <w:rFonts w:ascii="Arial" w:hAnsi="Arial" w:cs="Arial"/>
              </w:rPr>
              <w:t>Zasadnicze założenia interwencji publicznej, której wsparcie zaplanowano w ramach projektu</w:t>
            </w:r>
          </w:p>
        </w:tc>
      </w:tr>
      <w:tr w:rsidR="00200F48" w:rsidRPr="00200F48" w14:paraId="0227C4DD" w14:textId="77777777" w:rsidTr="00B81D3B">
        <w:trPr>
          <w:trHeight w:val="567"/>
        </w:trPr>
        <w:tc>
          <w:tcPr>
            <w:tcW w:w="9999" w:type="dxa"/>
            <w:gridSpan w:val="6"/>
            <w:tcBorders>
              <w:top w:val="single" w:sz="4" w:space="0" w:color="auto"/>
              <w:bottom w:val="single" w:sz="4" w:space="0" w:color="auto"/>
            </w:tcBorders>
            <w:shd w:val="clear" w:color="auto" w:fill="auto"/>
            <w:vAlign w:val="center"/>
          </w:tcPr>
          <w:p w14:paraId="43805F4F" w14:textId="77777777" w:rsidR="00200F48" w:rsidRPr="00200F48" w:rsidRDefault="00200F48" w:rsidP="00200F48">
            <w:pPr>
              <w:spacing w:before="120" w:after="120" w:line="360" w:lineRule="auto"/>
              <w:rPr>
                <w:rFonts w:ascii="Arial" w:hAnsi="Arial" w:cs="Arial"/>
              </w:rPr>
            </w:pPr>
            <w:proofErr w:type="gramStart"/>
            <w:r w:rsidRPr="00200F48">
              <w:rPr>
                <w:rFonts w:ascii="Arial" w:hAnsi="Arial" w:cs="Arial"/>
              </w:rPr>
              <w:t>Prokuratura jako</w:t>
            </w:r>
            <w:proofErr w:type="gramEnd"/>
            <w:r w:rsidRPr="00200F48">
              <w:rPr>
                <w:rFonts w:ascii="Arial" w:hAnsi="Arial" w:cs="Arial"/>
              </w:rPr>
              <w:t xml:space="preserve"> instytucja nie posiada wypracowanych jednolitych standardów, zarówno komunikacji wewnętrznej jak i zewnętrznej. Po ukończeniu budowy PROK-SYS istniejąca luka w zakresie opracowań metodycznych zwiększy się o brak jednolitej praktyki wykonywania obowiązków </w:t>
            </w:r>
            <w:r w:rsidRPr="00200F48">
              <w:rPr>
                <w:rFonts w:ascii="Arial" w:hAnsi="Arial" w:cs="Arial"/>
              </w:rPr>
              <w:lastRenderedPageBreak/>
              <w:t xml:space="preserve">służbowych z systemem informatycznym w praktyce obejmującym cały zakres funkcjonowania prokuratury oraz możliwości pracy zdalnej z wykorzystaniem własnym e-akt spraw karnych wraz z ich elektronicznym udostępnianiem stronom. W ramach projektu przewidziane są działania mające na celu przygotowanie pracowników jednostek organizacyjnych prokuratury do kompleksowej realizacji czynności służbowych włącznie z tzw. pracą zdalną (poza siedzibą danej prokuratury) przy wykorzystaniu funkcjonalności systemu informatycznego PROK-SYS. </w:t>
            </w:r>
          </w:p>
          <w:p w14:paraId="2ED53A6F"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Procesy i usługi, objęte projektowaną Metodyką są realizowane w stanie obecnym przez niezależne od siebie systemy informatyczne: </w:t>
            </w:r>
          </w:p>
          <w:p w14:paraId="452F7AE8" w14:textId="77777777" w:rsidR="00200F48" w:rsidRPr="00200F48" w:rsidRDefault="00200F48" w:rsidP="00200F48">
            <w:pPr>
              <w:spacing w:before="120" w:after="120" w:line="360" w:lineRule="auto"/>
              <w:rPr>
                <w:rFonts w:ascii="Arial" w:hAnsi="Arial" w:cs="Arial"/>
              </w:rPr>
            </w:pPr>
            <w:r w:rsidRPr="00200F48">
              <w:rPr>
                <w:rFonts w:ascii="Arial" w:hAnsi="Arial" w:cs="Arial"/>
              </w:rPr>
              <w:t>CBD-SIP-PK - system centralny aktualnie eksploatowany w Prokuraturze Krajowej. Realizuje dwie podstawowe funkcje:</w:t>
            </w:r>
          </w:p>
          <w:p w14:paraId="498AF42B"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1. Gromadzi dane z systemów SIP Libra-2.5 </w:t>
            </w:r>
            <w:proofErr w:type="gramStart"/>
            <w:r w:rsidRPr="00200F48">
              <w:rPr>
                <w:rFonts w:ascii="Arial" w:hAnsi="Arial" w:cs="Arial"/>
              </w:rPr>
              <w:t>eksploatowanych</w:t>
            </w:r>
            <w:proofErr w:type="gramEnd"/>
            <w:r w:rsidRPr="00200F48">
              <w:rPr>
                <w:rFonts w:ascii="Arial" w:hAnsi="Arial" w:cs="Arial"/>
              </w:rPr>
              <w:t xml:space="preserve"> w prokuraturach regionalnych tworząc centralną bazę danych. System umożliwia uprawnionym prokuratorom i pracownikom prokuratury wyszukiwanie danych oraz wytwarzanie raportów ze zgromadzonych danych w centralnej bazie danych.</w:t>
            </w:r>
          </w:p>
          <w:p w14:paraId="72C5DFF2" w14:textId="77777777" w:rsidR="00200F48" w:rsidRPr="00200F48" w:rsidRDefault="00200F48" w:rsidP="00200F48">
            <w:pPr>
              <w:spacing w:before="120" w:after="120" w:line="360" w:lineRule="auto"/>
              <w:rPr>
                <w:rFonts w:ascii="Arial" w:hAnsi="Arial" w:cs="Arial"/>
              </w:rPr>
            </w:pPr>
            <w:r w:rsidRPr="00200F48">
              <w:rPr>
                <w:rFonts w:ascii="Arial" w:hAnsi="Arial" w:cs="Arial"/>
              </w:rPr>
              <w:t>2. System CBD-SIP-PK umożliwia dostęp uprawnionym prokuratorom i pracownikom prokuratury w jednostkach prokuratury do rejestrów zewnętrznych.</w:t>
            </w:r>
          </w:p>
          <w:p w14:paraId="2C2D4E50" w14:textId="77777777" w:rsidR="00200F48" w:rsidRPr="00200F48" w:rsidRDefault="00200F48" w:rsidP="00200F48">
            <w:pPr>
              <w:spacing w:before="120" w:after="120" w:line="360" w:lineRule="auto"/>
              <w:rPr>
                <w:rFonts w:ascii="Arial" w:hAnsi="Arial" w:cs="Arial"/>
              </w:rPr>
            </w:pPr>
            <w:r w:rsidRPr="00200F48">
              <w:rPr>
                <w:rFonts w:ascii="Arial" w:hAnsi="Arial" w:cs="Arial"/>
              </w:rPr>
              <w:t>System CBD-SIP-PK po uruchomieniu systemu PROK-SYS zostanie wyłączony z eksploatacji.</w:t>
            </w:r>
            <w:bookmarkStart w:id="18" w:name="BKM_9936F1A1_B551_4E82_939A_A4DF87D4D05E"/>
          </w:p>
          <w:p w14:paraId="61220F3A"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SIP Libra-2.5 - </w:t>
            </w:r>
            <w:proofErr w:type="gramStart"/>
            <w:r w:rsidRPr="00200F48">
              <w:rPr>
                <w:rFonts w:ascii="Arial" w:hAnsi="Arial" w:cs="Arial"/>
              </w:rPr>
              <w:t>system</w:t>
            </w:r>
            <w:proofErr w:type="gramEnd"/>
            <w:r w:rsidRPr="00200F48">
              <w:rPr>
                <w:rFonts w:ascii="Arial" w:hAnsi="Arial" w:cs="Arial"/>
              </w:rPr>
              <w:t xml:space="preserve"> zainstalowany jest w Prokuraturze Krajowej i 11 Prokuraturach Regionalnych. Jest to podstawowy system wspomagający pracę prokuratora i sekretariatów.</w:t>
            </w:r>
          </w:p>
          <w:p w14:paraId="72AF1ECD"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Po uruchomieniu systemu PROK-SYS system SIP Libra-2.5 </w:t>
            </w:r>
            <w:proofErr w:type="gramStart"/>
            <w:r w:rsidRPr="00200F48">
              <w:rPr>
                <w:rFonts w:ascii="Arial" w:hAnsi="Arial" w:cs="Arial"/>
              </w:rPr>
              <w:t>zostanie</w:t>
            </w:r>
            <w:proofErr w:type="gramEnd"/>
            <w:r w:rsidRPr="00200F48">
              <w:rPr>
                <w:rFonts w:ascii="Arial" w:hAnsi="Arial" w:cs="Arial"/>
              </w:rPr>
              <w:t xml:space="preserve"> wyłączony z eksploatacji.</w:t>
            </w:r>
            <w:bookmarkEnd w:id="18"/>
          </w:p>
          <w:p w14:paraId="433D8C8B" w14:textId="77777777" w:rsidR="00200F48" w:rsidRPr="00200F48" w:rsidRDefault="00200F48" w:rsidP="00200F48">
            <w:pPr>
              <w:spacing w:before="120" w:after="120" w:line="360" w:lineRule="auto"/>
              <w:rPr>
                <w:rFonts w:ascii="Arial" w:hAnsi="Arial" w:cs="Arial"/>
              </w:rPr>
            </w:pPr>
            <w:r w:rsidRPr="00200F48">
              <w:rPr>
                <w:rFonts w:ascii="Arial" w:hAnsi="Arial" w:cs="Arial"/>
              </w:rPr>
              <w:t>SDA - system SDA przeznaczony jest do skanowania akt, przeprowadzenie procesu OCR zeskanowanych dokumentów, przechowywania zeskanowanych akt oraz udostępniania zeskanowanych akt do pracy prokuratora. System zainstalowany jest w Prokuraturze Krajowej, 11 prokuraturach regionalnych oraz 45 prokuraturach okręgowych. Po uruchomieniu systemu PROK-SYS system SDA zostanie wycofany z eksploatacji.</w:t>
            </w:r>
          </w:p>
          <w:p w14:paraId="2B4583E5" w14:textId="77777777" w:rsidR="00200F48" w:rsidRPr="00200F48" w:rsidRDefault="00200F48" w:rsidP="00200F48">
            <w:pPr>
              <w:spacing w:before="120" w:after="120" w:line="360" w:lineRule="auto"/>
              <w:rPr>
                <w:rFonts w:ascii="Arial" w:hAnsi="Arial" w:cs="Arial"/>
              </w:rPr>
            </w:pPr>
            <w:r w:rsidRPr="00200F48">
              <w:rPr>
                <w:rFonts w:ascii="Arial" w:hAnsi="Arial" w:cs="Arial"/>
              </w:rPr>
              <w:t>SWP</w:t>
            </w:r>
          </w:p>
          <w:p w14:paraId="24E1A20A" w14:textId="77777777" w:rsidR="00200F48" w:rsidRPr="00200F48" w:rsidRDefault="00200F48" w:rsidP="00200F48">
            <w:pPr>
              <w:spacing w:before="120" w:after="120" w:line="360" w:lineRule="auto"/>
              <w:rPr>
                <w:rFonts w:ascii="Arial" w:hAnsi="Arial" w:cs="Arial"/>
              </w:rPr>
            </w:pPr>
            <w:r w:rsidRPr="00200F48">
              <w:rPr>
                <w:rFonts w:ascii="Arial" w:hAnsi="Arial" w:cs="Arial"/>
              </w:rPr>
              <w:t>System Wsparcia Prokuratora – zapewnia dostęp do opracowań metodycznych, edycje dokumentów procesowych, analizę danych telekomunikacyjnych, bankowych i fakturowych wraz z wizualizacją.</w:t>
            </w:r>
          </w:p>
          <w:p w14:paraId="7F1215CC"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W ramach projektu „Budowa i wdrożenie systemu PROK-SYS” nastąpi pełna integracja procesów i usług obecnie rozproszonych- realizowanych niezależnie i bez powiązania ze sobą w ramach systemów informatycznych SDA, Libra 2.5 </w:t>
            </w:r>
            <w:proofErr w:type="gramStart"/>
            <w:r w:rsidRPr="00200F48">
              <w:rPr>
                <w:rFonts w:ascii="Arial" w:hAnsi="Arial" w:cs="Arial"/>
              </w:rPr>
              <w:t>oraz</w:t>
            </w:r>
            <w:proofErr w:type="gramEnd"/>
            <w:r w:rsidRPr="00200F48">
              <w:rPr>
                <w:rFonts w:ascii="Arial" w:hAnsi="Arial" w:cs="Arial"/>
              </w:rPr>
              <w:t xml:space="preserve"> CBD-SIP PK.</w:t>
            </w:r>
          </w:p>
          <w:p w14:paraId="73DB2DD7" w14:textId="77777777" w:rsidR="00200F48" w:rsidRPr="00200F48" w:rsidRDefault="00200F48" w:rsidP="00200F48">
            <w:pPr>
              <w:spacing w:before="120" w:after="120" w:line="360" w:lineRule="auto"/>
              <w:rPr>
                <w:rFonts w:ascii="Arial" w:hAnsi="Arial" w:cs="Arial"/>
              </w:rPr>
            </w:pPr>
            <w:bookmarkStart w:id="19" w:name="BKM_B4F2A5D8_B603_4C83_91A8_1BAF86D71732"/>
            <w:r w:rsidRPr="00200F48">
              <w:rPr>
                <w:rFonts w:ascii="Arial" w:hAnsi="Arial" w:cs="Arial"/>
              </w:rPr>
              <w:lastRenderedPageBreak/>
              <w:t>PROK-SYS będzie realizował:</w:t>
            </w:r>
          </w:p>
          <w:p w14:paraId="3A7A7F53" w14:textId="77777777" w:rsidR="00200F48" w:rsidRPr="00200F48" w:rsidRDefault="00200F48" w:rsidP="00200F48">
            <w:pPr>
              <w:spacing w:before="120" w:after="120" w:line="360" w:lineRule="auto"/>
              <w:rPr>
                <w:rFonts w:ascii="Arial" w:hAnsi="Arial" w:cs="Arial"/>
              </w:rPr>
            </w:pPr>
            <w:r w:rsidRPr="00200F48">
              <w:rPr>
                <w:rFonts w:ascii="Arial" w:hAnsi="Arial" w:cs="Arial"/>
              </w:rPr>
              <w:t>1. Udostępnianie akt sprawy stronom postępowania poprzez Internet.</w:t>
            </w:r>
          </w:p>
          <w:p w14:paraId="0873747D"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2. Wymianę danych poprzez sieci transmisji danych z organami współpracującymi takimi jak Policja, sądy, ABW, CBA, KAS. Uwierzytelnianie użytkowników Policji, sądów, ABW, CBA, </w:t>
            </w:r>
            <w:proofErr w:type="gramStart"/>
            <w:r w:rsidRPr="00200F48">
              <w:rPr>
                <w:rFonts w:ascii="Arial" w:hAnsi="Arial" w:cs="Arial"/>
              </w:rPr>
              <w:t>KAS  będzie</w:t>
            </w:r>
            <w:proofErr w:type="gramEnd"/>
            <w:r w:rsidRPr="00200F48">
              <w:rPr>
                <w:rFonts w:ascii="Arial" w:hAnsi="Arial" w:cs="Arial"/>
              </w:rPr>
              <w:t xml:space="preserve"> realizowane po stronie tych organów jako użytkownik grupowy Instytucja (np. Użytkownik grupowy Policja). Uwierzytelnianie nastąpi na poziomie Prokuratura Krajowa - instytucja. Rozliczalność prowadzić będzie każda instytucja we własnym systemie. </w:t>
            </w:r>
          </w:p>
          <w:p w14:paraId="50489103" w14:textId="77777777" w:rsidR="00200F48" w:rsidRPr="00200F48" w:rsidRDefault="00200F48" w:rsidP="00200F48">
            <w:pPr>
              <w:spacing w:before="120" w:after="120" w:line="360" w:lineRule="auto"/>
              <w:rPr>
                <w:rFonts w:ascii="Arial" w:hAnsi="Arial" w:cs="Arial"/>
              </w:rPr>
            </w:pPr>
            <w:r w:rsidRPr="00200F48">
              <w:rPr>
                <w:rFonts w:ascii="Arial" w:hAnsi="Arial" w:cs="Arial"/>
              </w:rPr>
              <w:t>3. Podniesienie bezpieczeństwa przetwarzania i udostępniania danych.</w:t>
            </w:r>
          </w:p>
          <w:p w14:paraId="0AF00360" w14:textId="77777777" w:rsidR="00200F48" w:rsidRPr="00200F48" w:rsidRDefault="00200F48" w:rsidP="00200F48">
            <w:pPr>
              <w:spacing w:before="120" w:after="120" w:line="360" w:lineRule="auto"/>
              <w:rPr>
                <w:rFonts w:ascii="Arial" w:hAnsi="Arial" w:cs="Arial"/>
              </w:rPr>
            </w:pPr>
            <w:r w:rsidRPr="00200F48">
              <w:rPr>
                <w:rFonts w:ascii="Arial" w:hAnsi="Arial" w:cs="Arial"/>
              </w:rPr>
              <w:t>4. Udostępnienie wszystkich usług systemu PROK-SYS prokuratorom i pracownikom prokuratury we wszystkich jednostkach zgodnie z posiadanymi uprawnieniami, szczególnie udostępnienie usług skanowania i przeglądania elektronicznych akt prokuratorom i pracownikom prokuratury w prokuraturach rejonowych.</w:t>
            </w:r>
            <w:bookmarkEnd w:id="19"/>
          </w:p>
          <w:p w14:paraId="34BE20D7" w14:textId="77777777" w:rsidR="00200F48" w:rsidRPr="00200F48" w:rsidRDefault="00200F48" w:rsidP="00200F48">
            <w:pPr>
              <w:spacing w:before="120" w:after="120" w:line="360" w:lineRule="auto"/>
              <w:rPr>
                <w:rFonts w:ascii="Arial" w:hAnsi="Arial" w:cs="Arial"/>
              </w:rPr>
            </w:pPr>
            <w:r w:rsidRPr="00200F48">
              <w:rPr>
                <w:rFonts w:ascii="Arial" w:hAnsi="Arial" w:cs="Arial"/>
              </w:rPr>
              <w:t>Funkcjonalności zbudowanego systemu informatycznego PROK-SYS będą umożliwiały osiągnięcie następujących korzyści:</w:t>
            </w:r>
          </w:p>
          <w:p w14:paraId="7CFE9CF6" w14:textId="77777777" w:rsidR="00200F48" w:rsidRPr="00200F48" w:rsidRDefault="00200F48" w:rsidP="00200F48">
            <w:pPr>
              <w:numPr>
                <w:ilvl w:val="0"/>
                <w:numId w:val="26"/>
              </w:numPr>
              <w:spacing w:before="120" w:after="120" w:line="360" w:lineRule="auto"/>
              <w:rPr>
                <w:rFonts w:ascii="Arial" w:hAnsi="Arial" w:cs="Arial"/>
              </w:rPr>
            </w:pPr>
            <w:proofErr w:type="gramStart"/>
            <w:r w:rsidRPr="00200F48">
              <w:rPr>
                <w:rFonts w:ascii="Arial" w:hAnsi="Arial" w:cs="Arial"/>
              </w:rPr>
              <w:t>ograniczenie</w:t>
            </w:r>
            <w:proofErr w:type="gramEnd"/>
            <w:r w:rsidRPr="00200F48">
              <w:rPr>
                <w:rFonts w:ascii="Arial" w:hAnsi="Arial" w:cs="Arial"/>
              </w:rPr>
              <w:t xml:space="preserve"> czasu i kosztów niezbędnych do wprowadzania do systemów poszczególnych instytucji tych samych danych,</w:t>
            </w:r>
          </w:p>
          <w:p w14:paraId="4ED886CC" w14:textId="77777777" w:rsidR="00200F48" w:rsidRPr="00200F48" w:rsidRDefault="00200F48" w:rsidP="00200F48">
            <w:pPr>
              <w:numPr>
                <w:ilvl w:val="0"/>
                <w:numId w:val="26"/>
              </w:numPr>
              <w:spacing w:before="120" w:after="120" w:line="360" w:lineRule="auto"/>
              <w:rPr>
                <w:rFonts w:ascii="Arial" w:hAnsi="Arial" w:cs="Arial"/>
              </w:rPr>
            </w:pPr>
            <w:proofErr w:type="gramStart"/>
            <w:r w:rsidRPr="00200F48">
              <w:rPr>
                <w:rFonts w:ascii="Arial" w:hAnsi="Arial" w:cs="Arial"/>
              </w:rPr>
              <w:t>uzyskanie</w:t>
            </w:r>
            <w:proofErr w:type="gramEnd"/>
            <w:r w:rsidRPr="00200F48">
              <w:rPr>
                <w:rFonts w:ascii="Arial" w:hAnsi="Arial" w:cs="Arial"/>
              </w:rPr>
              <w:t xml:space="preserve"> przez osoby pełniące funkcje orzecznicze narzędzia umożliwiającego analizę danych zawartych w aktach postępowania przy wykorzystaniu narzędzi informatycznych,</w:t>
            </w:r>
          </w:p>
          <w:p w14:paraId="63B81CA5" w14:textId="77777777" w:rsidR="00200F48" w:rsidRPr="00200F48" w:rsidRDefault="00200F48" w:rsidP="00200F48">
            <w:pPr>
              <w:numPr>
                <w:ilvl w:val="0"/>
                <w:numId w:val="26"/>
              </w:numPr>
              <w:spacing w:before="120" w:after="120" w:line="360" w:lineRule="auto"/>
              <w:rPr>
                <w:rFonts w:ascii="Arial" w:hAnsi="Arial" w:cs="Arial"/>
              </w:rPr>
            </w:pPr>
            <w:proofErr w:type="gramStart"/>
            <w:r w:rsidRPr="00200F48">
              <w:rPr>
                <w:rFonts w:ascii="Arial" w:hAnsi="Arial" w:cs="Arial"/>
              </w:rPr>
              <w:t>ograniczenie</w:t>
            </w:r>
            <w:proofErr w:type="gramEnd"/>
            <w:r w:rsidRPr="00200F48">
              <w:rPr>
                <w:rFonts w:ascii="Arial" w:hAnsi="Arial" w:cs="Arial"/>
              </w:rPr>
              <w:t xml:space="preserve"> liczby błędów wynikających z wykorzystania nieaktualnych danych w związku z czynnościami postępowania karnego,</w:t>
            </w:r>
          </w:p>
          <w:p w14:paraId="292FCC4C" w14:textId="77777777" w:rsidR="00200F48" w:rsidRPr="00200F48" w:rsidRDefault="00200F48" w:rsidP="00200F48">
            <w:pPr>
              <w:numPr>
                <w:ilvl w:val="0"/>
                <w:numId w:val="26"/>
              </w:numPr>
              <w:spacing w:before="120" w:after="120" w:line="360" w:lineRule="auto"/>
              <w:rPr>
                <w:rFonts w:ascii="Arial" w:hAnsi="Arial" w:cs="Arial"/>
              </w:rPr>
            </w:pPr>
            <w:proofErr w:type="gramStart"/>
            <w:r w:rsidRPr="00200F48">
              <w:rPr>
                <w:rFonts w:ascii="Arial" w:hAnsi="Arial" w:cs="Arial"/>
              </w:rPr>
              <w:t>ograniczenie</w:t>
            </w:r>
            <w:proofErr w:type="gramEnd"/>
            <w:r w:rsidRPr="00200F48">
              <w:rPr>
                <w:rFonts w:ascii="Arial" w:hAnsi="Arial" w:cs="Arial"/>
              </w:rPr>
              <w:t xml:space="preserve"> czasu i kosztów niezbędnych do uzyskania dostępu do akt przez osoby uprawnione, </w:t>
            </w:r>
          </w:p>
          <w:p w14:paraId="29BD37BB" w14:textId="77777777" w:rsidR="00200F48" w:rsidRPr="00200F48" w:rsidRDefault="00200F48" w:rsidP="00200F48">
            <w:pPr>
              <w:numPr>
                <w:ilvl w:val="0"/>
                <w:numId w:val="26"/>
              </w:numPr>
              <w:spacing w:before="120" w:after="120" w:line="360" w:lineRule="auto"/>
              <w:rPr>
                <w:rFonts w:ascii="Arial" w:hAnsi="Arial" w:cs="Arial"/>
              </w:rPr>
            </w:pPr>
            <w:proofErr w:type="gramStart"/>
            <w:r w:rsidRPr="00200F48">
              <w:rPr>
                <w:rFonts w:ascii="Arial" w:hAnsi="Arial" w:cs="Arial"/>
              </w:rPr>
              <w:t>ograniczenie</w:t>
            </w:r>
            <w:proofErr w:type="gramEnd"/>
            <w:r w:rsidRPr="00200F48">
              <w:rPr>
                <w:rFonts w:ascii="Arial" w:hAnsi="Arial" w:cs="Arial"/>
              </w:rPr>
              <w:t xml:space="preserve"> kosztów konwojowania osób uprawnionych do uzyskania dostępu do akt tymczasowo aresztowanych lub pozbawionych wolności,</w:t>
            </w:r>
          </w:p>
          <w:p w14:paraId="5B0FDCA5" w14:textId="77777777" w:rsidR="00200F48" w:rsidRPr="00200F48" w:rsidRDefault="00200F48" w:rsidP="00200F48">
            <w:pPr>
              <w:numPr>
                <w:ilvl w:val="0"/>
                <w:numId w:val="26"/>
              </w:numPr>
              <w:spacing w:before="120" w:after="120" w:line="360" w:lineRule="auto"/>
              <w:rPr>
                <w:rFonts w:ascii="Arial" w:hAnsi="Arial" w:cs="Arial"/>
              </w:rPr>
            </w:pPr>
            <w:proofErr w:type="gramStart"/>
            <w:r w:rsidRPr="00200F48">
              <w:rPr>
                <w:rFonts w:ascii="Arial" w:hAnsi="Arial" w:cs="Arial"/>
              </w:rPr>
              <w:t>zwiększenie</w:t>
            </w:r>
            <w:proofErr w:type="gramEnd"/>
            <w:r w:rsidRPr="00200F48">
              <w:rPr>
                <w:rFonts w:ascii="Arial" w:hAnsi="Arial" w:cs="Arial"/>
              </w:rPr>
              <w:t xml:space="preserve"> możliwości bezpośredniego zaangażowania osób, których interesów dotyczy postępowanie, w czynności postępowania,</w:t>
            </w:r>
          </w:p>
          <w:p w14:paraId="0A908C5F" w14:textId="77777777" w:rsidR="00200F48" w:rsidRPr="00200F48" w:rsidRDefault="00200F48" w:rsidP="00200F48">
            <w:pPr>
              <w:numPr>
                <w:ilvl w:val="0"/>
                <w:numId w:val="26"/>
              </w:numPr>
              <w:spacing w:before="120" w:after="120" w:line="360" w:lineRule="auto"/>
              <w:rPr>
                <w:rFonts w:ascii="Arial" w:hAnsi="Arial" w:cs="Arial"/>
              </w:rPr>
            </w:pPr>
            <w:proofErr w:type="gramStart"/>
            <w:r w:rsidRPr="00200F48">
              <w:rPr>
                <w:rFonts w:ascii="Arial" w:hAnsi="Arial" w:cs="Arial"/>
              </w:rPr>
              <w:t>zapewnienie</w:t>
            </w:r>
            <w:proofErr w:type="gramEnd"/>
            <w:r w:rsidRPr="00200F48">
              <w:rPr>
                <w:rFonts w:ascii="Arial" w:hAnsi="Arial" w:cs="Arial"/>
              </w:rPr>
              <w:t xml:space="preserve"> możliwości świadczenia tzw. pracy zdalnej z wykorzystaniem </w:t>
            </w:r>
            <w:proofErr w:type="spellStart"/>
            <w:r w:rsidRPr="00200F48">
              <w:rPr>
                <w:rFonts w:ascii="Arial" w:hAnsi="Arial" w:cs="Arial"/>
              </w:rPr>
              <w:t>zdigitalizowanych</w:t>
            </w:r>
            <w:proofErr w:type="spellEnd"/>
            <w:r w:rsidRPr="00200F48">
              <w:rPr>
                <w:rFonts w:ascii="Arial" w:hAnsi="Arial" w:cs="Arial"/>
              </w:rPr>
              <w:t xml:space="preserve"> spraw karnych,</w:t>
            </w:r>
          </w:p>
          <w:p w14:paraId="6665D799" w14:textId="77777777" w:rsidR="00200F48" w:rsidRPr="00200F48" w:rsidRDefault="00200F48" w:rsidP="00200F48">
            <w:pPr>
              <w:numPr>
                <w:ilvl w:val="0"/>
                <w:numId w:val="26"/>
              </w:numPr>
              <w:spacing w:before="120" w:after="120" w:line="360" w:lineRule="auto"/>
              <w:rPr>
                <w:rFonts w:ascii="Arial" w:hAnsi="Arial" w:cs="Arial"/>
              </w:rPr>
            </w:pPr>
            <w:proofErr w:type="gramStart"/>
            <w:r w:rsidRPr="00200F48">
              <w:rPr>
                <w:rFonts w:ascii="Arial" w:hAnsi="Arial" w:cs="Arial"/>
              </w:rPr>
              <w:t>zapewnienie</w:t>
            </w:r>
            <w:proofErr w:type="gramEnd"/>
            <w:r w:rsidRPr="00200F48">
              <w:rPr>
                <w:rFonts w:ascii="Arial" w:hAnsi="Arial" w:cs="Arial"/>
              </w:rPr>
              <w:t xml:space="preserve"> dostępu stronom postępowań do </w:t>
            </w:r>
            <w:proofErr w:type="spellStart"/>
            <w:r w:rsidRPr="00200F48">
              <w:rPr>
                <w:rFonts w:ascii="Arial" w:hAnsi="Arial" w:cs="Arial"/>
              </w:rPr>
              <w:t>zdigitalizowanych</w:t>
            </w:r>
            <w:proofErr w:type="spellEnd"/>
            <w:r w:rsidRPr="00200F48">
              <w:rPr>
                <w:rFonts w:ascii="Arial" w:hAnsi="Arial" w:cs="Arial"/>
              </w:rPr>
              <w:t xml:space="preserve"> akt spraw karnych z wykorzystaniem sieci </w:t>
            </w:r>
            <w:proofErr w:type="spellStart"/>
            <w:r w:rsidRPr="00200F48">
              <w:rPr>
                <w:rFonts w:ascii="Arial" w:hAnsi="Arial" w:cs="Arial"/>
              </w:rPr>
              <w:t>internet</w:t>
            </w:r>
            <w:proofErr w:type="spellEnd"/>
            <w:r w:rsidRPr="00200F48">
              <w:rPr>
                <w:rFonts w:ascii="Arial" w:hAnsi="Arial" w:cs="Arial"/>
              </w:rPr>
              <w:t xml:space="preserve"> bez względu na miejsce pobytu.</w:t>
            </w:r>
          </w:p>
          <w:p w14:paraId="6C0D0689"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Poza systemem PROK-SYS pozostanie aplikacja SWP, której integracja nie była przewidziana na etapie opracowywania założeń do PROK-SYS ze względu na realizację w ramach projektu </w:t>
            </w:r>
            <w:r w:rsidRPr="00200F48">
              <w:rPr>
                <w:rFonts w:ascii="Arial" w:hAnsi="Arial" w:cs="Arial"/>
              </w:rPr>
              <w:lastRenderedPageBreak/>
              <w:t xml:space="preserve">odrębnego. </w:t>
            </w:r>
          </w:p>
          <w:p w14:paraId="4AC09C92" w14:textId="77777777" w:rsidR="00200F48" w:rsidRPr="00200F48" w:rsidRDefault="00200F48" w:rsidP="00200F48">
            <w:pPr>
              <w:spacing w:before="120" w:after="120" w:line="360" w:lineRule="auto"/>
              <w:rPr>
                <w:rFonts w:ascii="Arial" w:hAnsi="Arial" w:cs="Arial"/>
              </w:rPr>
            </w:pPr>
            <w:r w:rsidRPr="00200F48">
              <w:rPr>
                <w:rFonts w:ascii="Arial" w:hAnsi="Arial" w:cs="Arial"/>
              </w:rPr>
              <w:t>Rozbudowa aplikacji SWP do wersji przeglądarkowej wraz z integracją z PROK-SYS w pełni wpisuje się w przedstawione powyżej korzyści związane z wdrożeniem PROK-SYS. W szczególności:</w:t>
            </w:r>
          </w:p>
          <w:p w14:paraId="5A436EF8" w14:textId="77777777" w:rsidR="00200F48" w:rsidRPr="00200F48" w:rsidRDefault="00200F48" w:rsidP="00200F48">
            <w:pPr>
              <w:numPr>
                <w:ilvl w:val="0"/>
                <w:numId w:val="27"/>
              </w:numPr>
              <w:spacing w:before="120" w:after="120" w:line="360" w:lineRule="auto"/>
              <w:rPr>
                <w:rFonts w:ascii="Arial" w:hAnsi="Arial" w:cs="Arial"/>
              </w:rPr>
            </w:pPr>
            <w:proofErr w:type="gramStart"/>
            <w:r w:rsidRPr="00200F48">
              <w:rPr>
                <w:rFonts w:ascii="Arial" w:hAnsi="Arial" w:cs="Arial"/>
              </w:rPr>
              <w:t>ograniczenie</w:t>
            </w:r>
            <w:proofErr w:type="gramEnd"/>
            <w:r w:rsidRPr="00200F48">
              <w:rPr>
                <w:rFonts w:ascii="Arial" w:hAnsi="Arial" w:cs="Arial"/>
              </w:rPr>
              <w:t xml:space="preserve"> czasu i kosztów niezbędnych do wprowadzania do SWP danych uprzednio wprowadzonych do PROK-SYS,</w:t>
            </w:r>
          </w:p>
          <w:p w14:paraId="68050971" w14:textId="77777777" w:rsidR="00200F48" w:rsidRPr="00200F48" w:rsidRDefault="00200F48" w:rsidP="00200F48">
            <w:pPr>
              <w:numPr>
                <w:ilvl w:val="0"/>
                <w:numId w:val="27"/>
              </w:numPr>
              <w:spacing w:before="120" w:after="120" w:line="360" w:lineRule="auto"/>
              <w:rPr>
                <w:rFonts w:ascii="Arial" w:hAnsi="Arial" w:cs="Arial"/>
              </w:rPr>
            </w:pPr>
            <w:proofErr w:type="gramStart"/>
            <w:r w:rsidRPr="00200F48">
              <w:rPr>
                <w:rFonts w:ascii="Arial" w:hAnsi="Arial" w:cs="Arial"/>
              </w:rPr>
              <w:t>uzyskanie</w:t>
            </w:r>
            <w:proofErr w:type="gramEnd"/>
            <w:r w:rsidRPr="00200F48">
              <w:rPr>
                <w:rFonts w:ascii="Arial" w:hAnsi="Arial" w:cs="Arial"/>
              </w:rPr>
              <w:t xml:space="preserve"> przez prokuratorów pełniących funkcje orzecznicze narzędzia umożliwiającego analizę danych dostępnych z poziomu prowadzonej bez konieczności importu/exportu, odrębnego zapisu itp.</w:t>
            </w:r>
          </w:p>
          <w:p w14:paraId="24481CBA" w14:textId="77777777" w:rsidR="00200F48" w:rsidRPr="00200F48" w:rsidRDefault="00200F48" w:rsidP="00200F48">
            <w:pPr>
              <w:numPr>
                <w:ilvl w:val="0"/>
                <w:numId w:val="27"/>
              </w:numPr>
              <w:spacing w:before="120" w:after="120" w:line="360" w:lineRule="auto"/>
              <w:rPr>
                <w:rFonts w:ascii="Arial" w:hAnsi="Arial" w:cs="Arial"/>
              </w:rPr>
            </w:pPr>
            <w:proofErr w:type="gramStart"/>
            <w:r w:rsidRPr="00200F48">
              <w:rPr>
                <w:rFonts w:ascii="Arial" w:hAnsi="Arial" w:cs="Arial"/>
              </w:rPr>
              <w:t>zapewnienie</w:t>
            </w:r>
            <w:proofErr w:type="gramEnd"/>
            <w:r w:rsidRPr="00200F48">
              <w:rPr>
                <w:rFonts w:ascii="Arial" w:hAnsi="Arial" w:cs="Arial"/>
              </w:rPr>
              <w:t xml:space="preserve"> dostępu do wszystkich opracowań metodycznych prokuratury oraz szkoleń w formie e-learningu z poziomu głównego systemu informatycznego prokuratury.  </w:t>
            </w:r>
          </w:p>
          <w:p w14:paraId="7D82DBE4"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Ponadto wpływ na zasadność realizacji projektu ma również wprowadzenie do Kodeksu postępowania karnego regulacji dotyczącej kwestii udostępniania stronom akt w postaci </w:t>
            </w:r>
            <w:proofErr w:type="spellStart"/>
            <w:r w:rsidRPr="00200F48">
              <w:rPr>
                <w:rFonts w:ascii="Arial" w:hAnsi="Arial" w:cs="Arial"/>
              </w:rPr>
              <w:t>zdigitalizowanej</w:t>
            </w:r>
            <w:proofErr w:type="spellEnd"/>
            <w:r w:rsidRPr="00200F48">
              <w:rPr>
                <w:rFonts w:ascii="Arial" w:hAnsi="Arial" w:cs="Arial"/>
              </w:rPr>
              <w:t xml:space="preserve">. Ustawa o zmianie ustawy – Kodeks postępowania karnego oraz niektórych innych ustaw z dnia 11 marca 2016 r. (Dz. U. </w:t>
            </w:r>
            <w:proofErr w:type="gramStart"/>
            <w:r w:rsidRPr="00200F48">
              <w:rPr>
                <w:rFonts w:ascii="Arial" w:hAnsi="Arial" w:cs="Arial"/>
              </w:rPr>
              <w:t>z</w:t>
            </w:r>
            <w:proofErr w:type="gramEnd"/>
            <w:r w:rsidRPr="00200F48">
              <w:rPr>
                <w:rFonts w:ascii="Arial" w:hAnsi="Arial" w:cs="Arial"/>
              </w:rPr>
              <w:t xml:space="preserve"> 2016 r. </w:t>
            </w:r>
            <w:proofErr w:type="spellStart"/>
            <w:r w:rsidRPr="00200F48">
              <w:rPr>
                <w:rFonts w:ascii="Arial" w:hAnsi="Arial" w:cs="Arial"/>
              </w:rPr>
              <w:t>poz</w:t>
            </w:r>
            <w:proofErr w:type="spellEnd"/>
            <w:r w:rsidRPr="00200F48">
              <w:rPr>
                <w:rFonts w:ascii="Arial" w:hAnsi="Arial" w:cs="Arial"/>
              </w:rPr>
              <w:t xml:space="preserve"> 437) wprowadziła do art. 156 § 5 Kodeksu normę stanowiącą podstawę do udostępniania akt w postaci elektronicznej. Zmiana weszła w życie 15 kwietnia 2016 r. i spowodowała zwiększone zainteresowanie osób uprawnionych w uzyskiwaniu akt sprawy w postaci elektronicznej. Powoduje to konieczność zmiany organizacji pracy prokuratora oraz pracowników wspomagających pracę prokuratora w zakresie sposobu prowadzenia akt postępowania przygotowawczego w sposób umożliwiający ich bieżącą digitalizację oraz udostępnianie akt stronom. </w:t>
            </w:r>
          </w:p>
          <w:p w14:paraId="203AAF3E" w14:textId="77777777" w:rsidR="00200F48" w:rsidRPr="00200F48" w:rsidRDefault="00200F48" w:rsidP="00200F48">
            <w:pPr>
              <w:spacing w:before="120" w:after="120" w:line="360" w:lineRule="auto"/>
              <w:rPr>
                <w:rFonts w:ascii="Arial" w:hAnsi="Arial" w:cs="Arial"/>
              </w:rPr>
            </w:pPr>
            <w:r w:rsidRPr="00200F48">
              <w:rPr>
                <w:rFonts w:ascii="Arial" w:hAnsi="Arial" w:cs="Arial"/>
              </w:rPr>
              <w:t>Uzasadnieniem dla realizacji projektu jest również przeprowadzona w roku 2018 analiza wykorzystania SDA w jednostkach, w których został wdrożony, dokonywana w ramach czynności związanych z utrzymaniem efektów zrealizowanego projektu. Z przeprowadzonych rozmów z użytkownikami systemu (prokuratorzy oraz pracownicy administracyjni wykorzystujący system) wynikało, że:</w:t>
            </w:r>
          </w:p>
          <w:p w14:paraId="0661A948" w14:textId="77777777" w:rsidR="00200F48" w:rsidRPr="00200F48" w:rsidRDefault="00200F48" w:rsidP="00200F48">
            <w:pPr>
              <w:spacing w:before="120" w:after="120" w:line="360" w:lineRule="auto"/>
              <w:rPr>
                <w:rFonts w:ascii="Arial" w:hAnsi="Arial" w:cs="Arial"/>
              </w:rPr>
            </w:pPr>
            <w:r w:rsidRPr="00200F48">
              <w:rPr>
                <w:rFonts w:ascii="Arial" w:hAnsi="Arial" w:cs="Arial"/>
              </w:rPr>
              <w:t>- nie mają problemów z wykorzystaniem funkcjonalności systemu związanych z digitalizacją akt oraz ich udostępnianiem. W tym zakresie zidentyfikowano jedynie problemy, związane z brakiem regularności dokonywania digitalizacji akt, wynikające z przyzwyczajeń osób prowadzących postępowanie;</w:t>
            </w:r>
          </w:p>
          <w:p w14:paraId="6BA7D4C5"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 mają problemy z wykorzystywaniem funkcjonalności systemu, związanych z analizą </w:t>
            </w:r>
            <w:proofErr w:type="spellStart"/>
            <w:r w:rsidRPr="00200F48">
              <w:rPr>
                <w:rFonts w:ascii="Arial" w:hAnsi="Arial" w:cs="Arial"/>
              </w:rPr>
              <w:t>zdigitalizowanych</w:t>
            </w:r>
            <w:proofErr w:type="spellEnd"/>
            <w:r w:rsidRPr="00200F48">
              <w:rPr>
                <w:rFonts w:ascii="Arial" w:hAnsi="Arial" w:cs="Arial"/>
              </w:rPr>
              <w:t xml:space="preserve"> akt i wykorzystywaniem wyników analizy do przygotowywania pism procesowych. W tym zakresie jest to dla użytkowników narzędzie nowe i o ile potrafią uruchomić poszczególne funkcje oprogramowania to nie identyfikują prawidłowo ich wykorzystania w związku z wykonywanymi czynnościami procesowymi. </w:t>
            </w:r>
          </w:p>
          <w:p w14:paraId="209A6A73" w14:textId="77777777" w:rsidR="00200F48" w:rsidRPr="00200F48" w:rsidRDefault="00200F48" w:rsidP="00200F48">
            <w:pPr>
              <w:spacing w:before="120" w:after="120" w:line="360" w:lineRule="auto"/>
              <w:rPr>
                <w:rFonts w:ascii="Arial" w:hAnsi="Arial" w:cs="Arial"/>
              </w:rPr>
            </w:pPr>
            <w:r w:rsidRPr="00200F48">
              <w:rPr>
                <w:rFonts w:ascii="Arial" w:hAnsi="Arial" w:cs="Arial"/>
              </w:rPr>
              <w:lastRenderedPageBreak/>
              <w:t>Wskazane problemy zostały rozwiązane poprzez opracowanie i wdrożenia jednolitej metodyki prowadzenia postępowania karnego z wykorzystaniem SDA. Biorąc pod uwagę spostrzeżenia przekazane przez użytkowników systemu do skutecznego wdrożenia niezbędna jest jednolita metodyka pracy. Stąd też konieczne jest przygotowanie optymalnego modelu wykorzystania wszystkich funkcjonalności PROK-SYS w trakcie wykonywania czynności służbowych przez pracowników prokuratury. Model ten będzie miał postać metodyki, przewidzianej do przygotowania i wdrożenia w ramach projektu, będącego przedmiotem niniejszego wniosku.</w:t>
            </w:r>
          </w:p>
          <w:p w14:paraId="5EF2925F"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W ramach projektu przewiduje się działania mające na celu standaryzację i optymalizację wykonywania czynności postępowania karnego z wykorzystaniem systemu informatycznego PROK-SYS. </w:t>
            </w:r>
          </w:p>
          <w:p w14:paraId="1AE62320"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Należy wskazać, że realizacja przedstawionych zamierzeń projektowych zapewni Prokuraturze możliwość realizacji swoich zadań ustawowych w obecnej sytuacji związanej z wprowadzeniem na terenie Polski w 2020 roku stanu epidemii COVID 19 oraz innych zbliżonych sytuacjach kryzysowych. Zostanie to osiągnięte poprzez zapewnienie pracownikom prokuratury możliwości pracy na dokumentach </w:t>
            </w:r>
            <w:proofErr w:type="spellStart"/>
            <w:r w:rsidRPr="00200F48">
              <w:rPr>
                <w:rFonts w:ascii="Arial" w:hAnsi="Arial" w:cs="Arial"/>
              </w:rPr>
              <w:t>zdigitalizowanych</w:t>
            </w:r>
            <w:proofErr w:type="spellEnd"/>
            <w:r w:rsidRPr="00200F48">
              <w:rPr>
                <w:rFonts w:ascii="Arial" w:hAnsi="Arial" w:cs="Arial"/>
              </w:rPr>
              <w:t xml:space="preserve"> w systemie PROK-SYS także poza siedzibami prokuratur w formie tzw. pracy zdalnej. Istotnym elementem wdrożenia ujednoliconej „Metodyki” będzie zapewnienie spójnego w skali ogólnopolskiej sposób elektronicznego udostępniania akt spraw karnych stronom postępowań bez konieczności osobistego stawiennictwa w czytelniach poszczególnych prokuratur. Strony postępowań bez względu na miejsce swojego pobytu (także poza granicami kraju) będą mogły po uzyskaniu zgody prokuratora zapoznać się z aktami danej sprawy dysponując jedynie dostępem do sieci </w:t>
            </w:r>
            <w:proofErr w:type="spellStart"/>
            <w:r w:rsidRPr="00200F48">
              <w:rPr>
                <w:rFonts w:ascii="Arial" w:hAnsi="Arial" w:cs="Arial"/>
              </w:rPr>
              <w:t>internet</w:t>
            </w:r>
            <w:proofErr w:type="spellEnd"/>
            <w:r w:rsidRPr="00200F48">
              <w:rPr>
                <w:rFonts w:ascii="Arial" w:hAnsi="Arial" w:cs="Arial"/>
              </w:rPr>
              <w:t xml:space="preserve">. Obecnie nie jest to możliwe powodując istotne ograniczenie dla realizacji uprawnień wynikających z ustawy Kodeks postępowania karnego. W praktyce projektowane rozwiązanie ograniczy fizyczny kontakt pracowników prokuratury oraz stron postępowań karnych z aktami papierowymi. W okresie obecnego stanu epidemii oraz innych mogących wystąpić w przyszłości postępowania karne będą mogły być sprawnie prowadzone bez istotnych ograniczeń wynikających z zagrożeń epidemiologicznych. </w:t>
            </w:r>
          </w:p>
          <w:p w14:paraId="09DE4996"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Projekt realizowany będzie przez zespół projektowy w ramach Biura Informatyzacji i Analiz Prokuratury Krajowej oraz wyznaczonych pracowników powszechnych jednostek organizacyjnych prokuratury. </w:t>
            </w:r>
          </w:p>
          <w:p w14:paraId="2FB9B37E"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Podstawowym celem projektu jest praktyczne wdrożenie jednolitego standardu realizacji obowiązków służbowych przez pracowników prokuratury z wykorzystaniem systemu informatycznego PROK-SYS oraz e-akt spraw karnych stanowiących </w:t>
            </w:r>
            <w:proofErr w:type="spellStart"/>
            <w:r w:rsidRPr="00200F48">
              <w:rPr>
                <w:rFonts w:ascii="Arial" w:hAnsi="Arial" w:cs="Arial"/>
              </w:rPr>
              <w:t>zdigitalizowane</w:t>
            </w:r>
            <w:proofErr w:type="spellEnd"/>
            <w:r w:rsidRPr="00200F48">
              <w:rPr>
                <w:rFonts w:ascii="Arial" w:hAnsi="Arial" w:cs="Arial"/>
              </w:rPr>
              <w:t xml:space="preserve"> odzwierciedlenie akt papierowych, które będzie </w:t>
            </w:r>
            <w:proofErr w:type="gramStart"/>
            <w:r w:rsidRPr="00200F48">
              <w:rPr>
                <w:rFonts w:ascii="Arial" w:hAnsi="Arial" w:cs="Arial"/>
              </w:rPr>
              <w:t>skutkowało  usprawnieniem</w:t>
            </w:r>
            <w:proofErr w:type="gramEnd"/>
            <w:r w:rsidRPr="00200F48">
              <w:rPr>
                <w:rFonts w:ascii="Arial" w:hAnsi="Arial" w:cs="Arial"/>
              </w:rPr>
              <w:t xml:space="preserve"> procesów związanych z zarządzaniem przez prowadzącego postępowanie czynnościami prowadzonego postępowania, w tym w szczególności sposobem organizacji akt postępowania oraz czynnościami związanymi z </w:t>
            </w:r>
            <w:r w:rsidRPr="00200F48">
              <w:rPr>
                <w:rFonts w:ascii="Arial" w:hAnsi="Arial" w:cs="Arial"/>
              </w:rPr>
              <w:lastRenderedPageBreak/>
              <w:t xml:space="preserve">udostępnianiem przez </w:t>
            </w:r>
            <w:proofErr w:type="spellStart"/>
            <w:r w:rsidRPr="00200F48">
              <w:rPr>
                <w:rFonts w:ascii="Arial" w:hAnsi="Arial" w:cs="Arial"/>
              </w:rPr>
              <w:t>internet</w:t>
            </w:r>
            <w:proofErr w:type="spellEnd"/>
            <w:r w:rsidRPr="00200F48">
              <w:rPr>
                <w:rFonts w:ascii="Arial" w:hAnsi="Arial" w:cs="Arial"/>
              </w:rPr>
              <w:t xml:space="preserve"> akt postępowania osobom uprawnionym i ich przekazywaniem do innych organów, wykonujących czynności w związku z postępowaniem. Produkty projektu, objętego niniejszym wnioskiem, będą dodatkowo wzmacniać rezultaty projektu „Budowa i wdrożenie systemu PROK-SYS” zrealizowanego ze środków Programu Operacyjnego Innowacyjna Gospodarka i Programu Operacyjnego Polska Cyfrowa oraz projektu „Budowa systemu wsparcia pracy prokuratora na etapie postępowania przygotowawczego i sądowego poprzez opracowanie metodyk pracy w określonych kategoriach spraw” zrealizowanego ze środków Programu Operacyjnego Wiedza Edukacja Rozwój.</w:t>
            </w:r>
          </w:p>
        </w:tc>
      </w:tr>
      <w:tr w:rsidR="00200F48" w:rsidRPr="00200F48" w14:paraId="121DABDE" w14:textId="77777777" w:rsidTr="00B81D3B">
        <w:trPr>
          <w:trHeight w:val="636"/>
        </w:trPr>
        <w:tc>
          <w:tcPr>
            <w:tcW w:w="9999" w:type="dxa"/>
            <w:gridSpan w:val="6"/>
            <w:tcBorders>
              <w:top w:val="single" w:sz="2" w:space="0" w:color="auto"/>
              <w:bottom w:val="single" w:sz="2" w:space="0" w:color="auto"/>
            </w:tcBorders>
            <w:shd w:val="clear" w:color="auto" w:fill="CCC0D9"/>
            <w:vAlign w:val="center"/>
          </w:tcPr>
          <w:p w14:paraId="4AB80ED4" w14:textId="77777777" w:rsidR="00200F48" w:rsidRPr="00200F48" w:rsidRDefault="00200F48" w:rsidP="00200F48">
            <w:pPr>
              <w:spacing w:before="120" w:after="120" w:line="360" w:lineRule="auto"/>
              <w:rPr>
                <w:rFonts w:ascii="Arial" w:hAnsi="Arial" w:cs="Arial"/>
              </w:rPr>
            </w:pPr>
            <w:r w:rsidRPr="00200F48">
              <w:rPr>
                <w:rFonts w:ascii="Arial" w:hAnsi="Arial" w:cs="Arial"/>
              </w:rPr>
              <w:lastRenderedPageBreak/>
              <w:t>Główne zadania przewidziane do realizacji w projekcie ze wskazaniem grup docelowych</w:t>
            </w:r>
          </w:p>
        </w:tc>
      </w:tr>
      <w:tr w:rsidR="00200F48" w:rsidRPr="00200F48" w14:paraId="2E608B1E" w14:textId="77777777" w:rsidTr="00B81D3B">
        <w:trPr>
          <w:trHeight w:val="567"/>
        </w:trPr>
        <w:tc>
          <w:tcPr>
            <w:tcW w:w="9999" w:type="dxa"/>
            <w:gridSpan w:val="6"/>
            <w:tcBorders>
              <w:top w:val="single" w:sz="4" w:space="0" w:color="auto"/>
              <w:bottom w:val="single" w:sz="4" w:space="0" w:color="auto"/>
            </w:tcBorders>
            <w:shd w:val="clear" w:color="auto" w:fill="auto"/>
            <w:vAlign w:val="center"/>
          </w:tcPr>
          <w:p w14:paraId="17572DC1" w14:textId="77777777" w:rsidR="00200F48" w:rsidRPr="00200F48" w:rsidRDefault="00200F48" w:rsidP="00200F48">
            <w:pPr>
              <w:spacing w:before="120" w:after="120" w:line="360" w:lineRule="auto"/>
              <w:rPr>
                <w:rFonts w:ascii="Arial" w:hAnsi="Arial" w:cs="Arial"/>
              </w:rPr>
            </w:pPr>
            <w:r w:rsidRPr="00200F48">
              <w:rPr>
                <w:rFonts w:ascii="Arial" w:hAnsi="Arial" w:cs="Arial"/>
              </w:rPr>
              <w:t>W ramach projektu planuje się realizację następujących działań / zadań:</w:t>
            </w:r>
          </w:p>
          <w:p w14:paraId="0683113F" w14:textId="77777777" w:rsidR="00200F48" w:rsidRPr="00200F48" w:rsidRDefault="00200F48" w:rsidP="00200F48">
            <w:pPr>
              <w:numPr>
                <w:ilvl w:val="0"/>
                <w:numId w:val="23"/>
              </w:numPr>
              <w:spacing w:before="120" w:after="120" w:line="360" w:lineRule="auto"/>
              <w:rPr>
                <w:rFonts w:ascii="Arial" w:hAnsi="Arial" w:cs="Arial"/>
              </w:rPr>
            </w:pPr>
            <w:r w:rsidRPr="00200F48">
              <w:rPr>
                <w:rFonts w:ascii="Arial" w:hAnsi="Arial" w:cs="Arial"/>
              </w:rPr>
              <w:t xml:space="preserve">Przygotowanie konspektu opracowania metodycznego z zakresu pozyskiwania i przetwarzania </w:t>
            </w:r>
            <w:proofErr w:type="gramStart"/>
            <w:r w:rsidRPr="00200F48">
              <w:rPr>
                <w:rFonts w:ascii="Arial" w:hAnsi="Arial" w:cs="Arial"/>
              </w:rPr>
              <w:t>informacji,  elektronicznej</w:t>
            </w:r>
            <w:proofErr w:type="gramEnd"/>
            <w:r w:rsidRPr="00200F48">
              <w:rPr>
                <w:rFonts w:ascii="Arial" w:hAnsi="Arial" w:cs="Arial"/>
              </w:rPr>
              <w:t xml:space="preserve"> komunikacji z innymi podmiotami oraz wykorzystania e-akt spraw karnych przy realizacji zadań prokuratury z wykorzystaniem systemu informatycznego PROK-SYS, w skład której powinni wejść prokuratorzy prowadzący postępowania karne oraz urzędnicy i inni pracownicy prokuratury wykonujący czynności administracyjne, związane z digitalizacją i udostępnianiem </w:t>
            </w:r>
            <w:proofErr w:type="spellStart"/>
            <w:r w:rsidRPr="00200F48">
              <w:rPr>
                <w:rFonts w:ascii="Arial" w:hAnsi="Arial" w:cs="Arial"/>
              </w:rPr>
              <w:t>zdigitalizowanych</w:t>
            </w:r>
            <w:proofErr w:type="spellEnd"/>
            <w:r w:rsidRPr="00200F48">
              <w:rPr>
                <w:rFonts w:ascii="Arial" w:hAnsi="Arial" w:cs="Arial"/>
              </w:rPr>
              <w:t xml:space="preserve"> akt stronom postępowania (realizacja obowiązków służbowych z wykorzystaniem PROK-SYS),</w:t>
            </w:r>
          </w:p>
          <w:p w14:paraId="6D393FFA" w14:textId="77777777" w:rsidR="00200F48" w:rsidRPr="00200F48" w:rsidRDefault="00200F48" w:rsidP="00200F48">
            <w:pPr>
              <w:numPr>
                <w:ilvl w:val="0"/>
                <w:numId w:val="23"/>
              </w:numPr>
              <w:spacing w:before="120" w:after="120" w:line="360" w:lineRule="auto"/>
              <w:rPr>
                <w:rFonts w:ascii="Arial" w:hAnsi="Arial" w:cs="Arial"/>
              </w:rPr>
            </w:pPr>
            <w:r w:rsidRPr="00200F48">
              <w:rPr>
                <w:rFonts w:ascii="Arial" w:hAnsi="Arial" w:cs="Arial"/>
              </w:rPr>
              <w:t>Rozbudowa aplikacji SWP do wersji przeglądarkowej wraz z integracją z PROK-SYS,</w:t>
            </w:r>
          </w:p>
          <w:p w14:paraId="48584C76" w14:textId="77777777" w:rsidR="00200F48" w:rsidRPr="00200F48" w:rsidRDefault="00200F48" w:rsidP="00200F48">
            <w:pPr>
              <w:numPr>
                <w:ilvl w:val="0"/>
                <w:numId w:val="23"/>
              </w:numPr>
              <w:spacing w:before="120" w:after="120" w:line="360" w:lineRule="auto"/>
              <w:rPr>
                <w:rFonts w:ascii="Arial" w:hAnsi="Arial" w:cs="Arial"/>
              </w:rPr>
            </w:pPr>
            <w:r w:rsidRPr="00200F48">
              <w:rPr>
                <w:rFonts w:ascii="Arial" w:hAnsi="Arial" w:cs="Arial"/>
              </w:rPr>
              <w:t xml:space="preserve">Przygotowanie metodyki z zakresu pozyskiwania i przetwarzania </w:t>
            </w:r>
            <w:proofErr w:type="gramStart"/>
            <w:r w:rsidRPr="00200F48">
              <w:rPr>
                <w:rFonts w:ascii="Arial" w:hAnsi="Arial" w:cs="Arial"/>
              </w:rPr>
              <w:t>informacji,  elektronicznej</w:t>
            </w:r>
            <w:proofErr w:type="gramEnd"/>
            <w:r w:rsidRPr="00200F48">
              <w:rPr>
                <w:rFonts w:ascii="Arial" w:hAnsi="Arial" w:cs="Arial"/>
              </w:rPr>
              <w:t xml:space="preserve"> komunikacji z innymi podmiotami oraz wykorzystania e-akt spraw karnych przy realizacji zadań prokuratury z wykorzystaniem systemu informatycznego PROK-SYS - prezentacja dokumentu kierownictwu Prokuratury Krajowej, uwzględnienie ewentualnych uwag i poprawek oraz przyjęcie dokumentu przez Prokuratora Generalnego,</w:t>
            </w:r>
          </w:p>
          <w:p w14:paraId="7E7A2168" w14:textId="77777777" w:rsidR="00200F48" w:rsidRPr="00200F48" w:rsidRDefault="00200F48" w:rsidP="00200F48">
            <w:pPr>
              <w:numPr>
                <w:ilvl w:val="0"/>
                <w:numId w:val="23"/>
              </w:numPr>
              <w:spacing w:before="120" w:after="120" w:line="360" w:lineRule="auto"/>
              <w:rPr>
                <w:rFonts w:ascii="Arial" w:hAnsi="Arial" w:cs="Arial"/>
                <w:b/>
              </w:rPr>
            </w:pPr>
            <w:r w:rsidRPr="00200F48">
              <w:rPr>
                <w:rFonts w:ascii="Arial" w:hAnsi="Arial" w:cs="Arial"/>
              </w:rPr>
              <w:t xml:space="preserve">Wdrożenie metodyki poprzez przeprowadzenie </w:t>
            </w:r>
            <w:proofErr w:type="gramStart"/>
            <w:r w:rsidRPr="00200F48">
              <w:rPr>
                <w:rFonts w:ascii="Arial" w:hAnsi="Arial" w:cs="Arial"/>
              </w:rPr>
              <w:t>szkoleń dla co</w:t>
            </w:r>
            <w:proofErr w:type="gramEnd"/>
            <w:r w:rsidRPr="00200F48">
              <w:rPr>
                <w:rFonts w:ascii="Arial" w:hAnsi="Arial" w:cs="Arial"/>
              </w:rPr>
              <w:t xml:space="preserve"> najmniej 10.000 </w:t>
            </w:r>
            <w:proofErr w:type="gramStart"/>
            <w:r w:rsidRPr="00200F48">
              <w:rPr>
                <w:rFonts w:ascii="Arial" w:hAnsi="Arial" w:cs="Arial"/>
              </w:rPr>
              <w:t>osób</w:t>
            </w:r>
            <w:proofErr w:type="gramEnd"/>
            <w:r w:rsidRPr="00200F48">
              <w:rPr>
                <w:rFonts w:ascii="Arial" w:hAnsi="Arial" w:cs="Arial"/>
              </w:rPr>
              <w:t xml:space="preserve"> (pracowników jednostek organizacyjnych prokuratury- prokuratorów, asesorów, asystentów prokuratorów, urzędników oraz innych pracowników prokuratury) oraz przygotowanie materiałów e-learningowych dla przyszłych pracowników jednostek organizacyjnych prokuratury. Zakłada </w:t>
            </w:r>
            <w:proofErr w:type="gramStart"/>
            <w:r w:rsidRPr="00200F48">
              <w:rPr>
                <w:rFonts w:ascii="Arial" w:hAnsi="Arial" w:cs="Arial"/>
              </w:rPr>
              <w:t>się że</w:t>
            </w:r>
            <w:proofErr w:type="gramEnd"/>
            <w:r w:rsidRPr="00200F48">
              <w:rPr>
                <w:rFonts w:ascii="Arial" w:hAnsi="Arial" w:cs="Arial"/>
              </w:rPr>
              <w:t xml:space="preserve"> szkolenia prowadzone będą przez prokuratorów i/lub urzędników prokuratury wyłonionych w ramach postępowania publicznego w trybie – usługi społeczne. Każda osoba uczestnicząca w szkoleniach będzie miała dostęp do środowiska pracy (urządzeń i oprogramowania) identycznego z występującym w miejscu wykonywania czynności służbowych. Tematyka szkoleń dotyczyć będzie zarządzania czynnościami postępowania karnego przez prokuratora prowadzącego postępowanie, w tym w szczególności czynnościami digitalizacji akt postępowania, udostępniania akt podmiotom </w:t>
            </w:r>
            <w:r w:rsidRPr="00200F48">
              <w:rPr>
                <w:rFonts w:ascii="Arial" w:hAnsi="Arial" w:cs="Arial"/>
              </w:rPr>
              <w:lastRenderedPageBreak/>
              <w:t xml:space="preserve">zewnętrznym oraz organizacji akt dla celów analizy treści </w:t>
            </w:r>
            <w:proofErr w:type="spellStart"/>
            <w:r w:rsidRPr="00200F48">
              <w:rPr>
                <w:rFonts w:ascii="Arial" w:hAnsi="Arial" w:cs="Arial"/>
              </w:rPr>
              <w:t>zdigitalizowanych</w:t>
            </w:r>
            <w:proofErr w:type="spellEnd"/>
            <w:r w:rsidRPr="00200F48">
              <w:rPr>
                <w:rFonts w:ascii="Arial" w:hAnsi="Arial" w:cs="Arial"/>
              </w:rPr>
              <w:t xml:space="preserve"> dokumentów. Tematyką szkoleń zostanie objęta komunikacja z wykorzystaniem elektronicznego obiegu dokumentów wewnątrz prokuratury, jak również z podmiotami zewnętrznymi.  </w:t>
            </w:r>
          </w:p>
        </w:tc>
      </w:tr>
      <w:tr w:rsidR="00200F48" w:rsidRPr="00200F48" w14:paraId="675451F4" w14:textId="77777777" w:rsidTr="00B81D3B">
        <w:trPr>
          <w:trHeight w:val="567"/>
        </w:trPr>
        <w:tc>
          <w:tcPr>
            <w:tcW w:w="9999" w:type="dxa"/>
            <w:gridSpan w:val="6"/>
            <w:tcBorders>
              <w:top w:val="single" w:sz="4" w:space="0" w:color="auto"/>
              <w:bottom w:val="single" w:sz="4" w:space="0" w:color="auto"/>
            </w:tcBorders>
            <w:shd w:val="clear" w:color="auto" w:fill="CCC0D9"/>
            <w:vAlign w:val="center"/>
          </w:tcPr>
          <w:p w14:paraId="48C5CCF3" w14:textId="77777777" w:rsidR="00200F48" w:rsidRPr="00200F48" w:rsidRDefault="00200F48" w:rsidP="00200F48">
            <w:pPr>
              <w:spacing w:before="120" w:after="120" w:line="360" w:lineRule="auto"/>
              <w:rPr>
                <w:rFonts w:ascii="Arial" w:hAnsi="Arial" w:cs="Arial"/>
              </w:rPr>
            </w:pPr>
            <w:r w:rsidRPr="00200F48">
              <w:rPr>
                <w:rFonts w:ascii="Arial" w:hAnsi="Arial" w:cs="Arial"/>
              </w:rPr>
              <w:lastRenderedPageBreak/>
              <w:t>Zasadnicze działania ukierunkowane na wsparcie podejmowanej interwencji publicznej, zrealizowane dotychczas przez wnioskodawcę lub inne instytucje</w:t>
            </w:r>
          </w:p>
        </w:tc>
      </w:tr>
      <w:tr w:rsidR="00200F48" w:rsidRPr="00200F48" w14:paraId="4A72ADCD" w14:textId="77777777" w:rsidTr="00B81D3B">
        <w:trPr>
          <w:trHeight w:val="567"/>
        </w:trPr>
        <w:tc>
          <w:tcPr>
            <w:tcW w:w="9999" w:type="dxa"/>
            <w:gridSpan w:val="6"/>
            <w:tcBorders>
              <w:top w:val="single" w:sz="4" w:space="0" w:color="auto"/>
              <w:bottom w:val="single" w:sz="4" w:space="0" w:color="auto"/>
            </w:tcBorders>
            <w:shd w:val="clear" w:color="auto" w:fill="auto"/>
            <w:vAlign w:val="center"/>
          </w:tcPr>
          <w:p w14:paraId="28D8E904"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 Wśród zasadniczych działań ukierunkowanych na wsparcie podejmowania interwencji, które dotychczas zostały zrealizowane przez Prokuraturę Krajową wymienić należy:</w:t>
            </w:r>
          </w:p>
          <w:p w14:paraId="246FFD18" w14:textId="77777777" w:rsidR="00200F48" w:rsidRPr="00200F48" w:rsidRDefault="00200F48" w:rsidP="00200F48">
            <w:pPr>
              <w:numPr>
                <w:ilvl w:val="0"/>
                <w:numId w:val="24"/>
              </w:numPr>
              <w:spacing w:before="120" w:after="120" w:line="360" w:lineRule="auto"/>
              <w:ind w:left="460"/>
              <w:rPr>
                <w:rFonts w:ascii="Arial" w:hAnsi="Arial" w:cs="Arial"/>
              </w:rPr>
            </w:pPr>
            <w:proofErr w:type="gramStart"/>
            <w:r w:rsidRPr="00200F48">
              <w:rPr>
                <w:rFonts w:ascii="Arial" w:hAnsi="Arial" w:cs="Arial"/>
              </w:rPr>
              <w:t>wdrożenie</w:t>
            </w:r>
            <w:proofErr w:type="gramEnd"/>
            <w:r w:rsidRPr="00200F48">
              <w:rPr>
                <w:rFonts w:ascii="Arial" w:hAnsi="Arial" w:cs="Arial"/>
              </w:rPr>
              <w:t xml:space="preserve"> Systemu Digitalizacji Akt w ramach projektu </w:t>
            </w:r>
            <w:r w:rsidRPr="00200F48">
              <w:rPr>
                <w:rFonts w:ascii="Arial" w:hAnsi="Arial" w:cs="Arial"/>
                <w:i/>
              </w:rPr>
              <w:t>Wdrożenie systemu digitalizacji akt postępowań przygotowawczych oraz utworzenie lokalnych i centralnego repozytorium akt w postaci cyfrowej w powszechnych jednostkach organizacyjnych prokuratury (SDA)</w:t>
            </w:r>
            <w:r w:rsidRPr="00200F48">
              <w:rPr>
                <w:rFonts w:ascii="Arial" w:hAnsi="Arial" w:cs="Arial"/>
              </w:rPr>
              <w:t>. Projekt współfinansowany był ze środków VII Osi Priorytetowej Programu Operacyjnego Innowacyjna Gospodarka. Projekt został zakończony w grudniu 2015 r.;</w:t>
            </w:r>
          </w:p>
          <w:p w14:paraId="774D55DC" w14:textId="77777777" w:rsidR="00200F48" w:rsidRPr="00200F48" w:rsidRDefault="00200F48" w:rsidP="00200F48">
            <w:pPr>
              <w:numPr>
                <w:ilvl w:val="0"/>
                <w:numId w:val="24"/>
              </w:numPr>
              <w:spacing w:before="120" w:after="120" w:line="360" w:lineRule="auto"/>
              <w:ind w:left="460"/>
              <w:rPr>
                <w:rFonts w:ascii="Arial" w:hAnsi="Arial" w:cs="Arial"/>
              </w:rPr>
            </w:pPr>
            <w:proofErr w:type="gramStart"/>
            <w:r w:rsidRPr="00200F48">
              <w:rPr>
                <w:rFonts w:ascii="Arial" w:hAnsi="Arial" w:cs="Arial"/>
              </w:rPr>
              <w:t>utworzenie</w:t>
            </w:r>
            <w:proofErr w:type="gramEnd"/>
            <w:r w:rsidRPr="00200F48">
              <w:rPr>
                <w:rFonts w:ascii="Arial" w:hAnsi="Arial" w:cs="Arial"/>
              </w:rPr>
              <w:t xml:space="preserve"> ogólnokrajowej infrastruktury teleinformatycznej prokuratury, umożliwiającej bezpieczne przesyłanie danych pomiędzy organami administracji publicznej. Zadanie realizowane ze środków własnych Prokuratury Krajowej. Realizacja zadania umożliwia wykorzystanie funkcjonalności Systemu Digitalizacji Akt do bezpiecznego przekazywania akt w formie </w:t>
            </w:r>
            <w:proofErr w:type="spellStart"/>
            <w:r w:rsidRPr="00200F48">
              <w:rPr>
                <w:rFonts w:ascii="Arial" w:hAnsi="Arial" w:cs="Arial"/>
              </w:rPr>
              <w:t>zdigitalizowanej</w:t>
            </w:r>
            <w:proofErr w:type="spellEnd"/>
            <w:r w:rsidRPr="00200F48">
              <w:rPr>
                <w:rFonts w:ascii="Arial" w:hAnsi="Arial" w:cs="Arial"/>
              </w:rPr>
              <w:t xml:space="preserve"> innym organom uczestniczącym w wykonywaniu czynności postępowania karnego (przede wszystkim sądy oraz Policja);</w:t>
            </w:r>
          </w:p>
          <w:p w14:paraId="6CE3D873" w14:textId="77777777" w:rsidR="00200F48" w:rsidRPr="00200F48" w:rsidRDefault="00200F48" w:rsidP="00200F48">
            <w:pPr>
              <w:numPr>
                <w:ilvl w:val="0"/>
                <w:numId w:val="24"/>
              </w:numPr>
              <w:spacing w:before="120" w:after="120" w:line="360" w:lineRule="auto"/>
              <w:ind w:left="460"/>
              <w:rPr>
                <w:rFonts w:ascii="Arial" w:hAnsi="Arial" w:cs="Arial"/>
              </w:rPr>
            </w:pPr>
            <w:proofErr w:type="gramStart"/>
            <w:r w:rsidRPr="00200F48">
              <w:rPr>
                <w:rFonts w:ascii="Arial" w:hAnsi="Arial" w:cs="Arial"/>
              </w:rPr>
              <w:t>rozpoczęcie</w:t>
            </w:r>
            <w:proofErr w:type="gramEnd"/>
            <w:r w:rsidRPr="00200F48">
              <w:rPr>
                <w:rFonts w:ascii="Arial" w:hAnsi="Arial" w:cs="Arial"/>
              </w:rPr>
              <w:t xml:space="preserve"> realizacji projektu „Budowa systemu wsparcia pracy prokuratora na etapie postępowania przygotowawczego i sądowego poprzez opracowanie metodyk pracy w określonych kategoriach spraw” zrealizowanego ze środków Programu Operacyjnego Wiedza Edukacja Rozwój. Zaplanowany do realizacji w latach 2016-2021. Realizacja zadania skutkowała między innymi budową aplikacji System Wsparcia Prokuratora (SWP) zapewniający dostęp do opracowań metodycznych, edycję wybranych dokumentów procesowych, analizę danych wraz z wizualizacją wyników ich przetwarzania.</w:t>
            </w:r>
          </w:p>
          <w:p w14:paraId="7BF3939B" w14:textId="77777777" w:rsidR="00200F48" w:rsidRPr="00200F48" w:rsidRDefault="00200F48" w:rsidP="00200F48">
            <w:pPr>
              <w:numPr>
                <w:ilvl w:val="0"/>
                <w:numId w:val="24"/>
              </w:numPr>
              <w:spacing w:before="120" w:after="120" w:line="360" w:lineRule="auto"/>
              <w:ind w:left="460"/>
              <w:rPr>
                <w:rFonts w:ascii="Arial" w:hAnsi="Arial" w:cs="Arial"/>
              </w:rPr>
            </w:pPr>
            <w:proofErr w:type="gramStart"/>
            <w:r w:rsidRPr="00200F48">
              <w:rPr>
                <w:rFonts w:ascii="Arial" w:hAnsi="Arial" w:cs="Arial"/>
              </w:rPr>
              <w:t>rozpoczęcie</w:t>
            </w:r>
            <w:proofErr w:type="gramEnd"/>
            <w:r w:rsidRPr="00200F48">
              <w:rPr>
                <w:rFonts w:ascii="Arial" w:hAnsi="Arial" w:cs="Arial"/>
              </w:rPr>
              <w:t xml:space="preserve"> realizacji projektu </w:t>
            </w:r>
            <w:r w:rsidRPr="00200F48">
              <w:rPr>
                <w:rFonts w:ascii="Arial" w:hAnsi="Arial" w:cs="Arial"/>
                <w:i/>
              </w:rPr>
              <w:t>Budowa i wdrożenie systemu PROK-SYS</w:t>
            </w:r>
            <w:r w:rsidRPr="00200F48">
              <w:rPr>
                <w:rFonts w:ascii="Arial" w:hAnsi="Arial" w:cs="Arial"/>
              </w:rPr>
              <w:t xml:space="preserve">. Projekt jest współfinansowany ze środków II Osi Priorytetowej Programu Operacyjnego Polska Cyfrowa. Projekt zakłada wdrożenie systemu PROK-SYS (posiadającego rozbudowane funkcjonalności obecnych SDA, Libra 2.5 </w:t>
            </w:r>
            <w:proofErr w:type="gramStart"/>
            <w:r w:rsidRPr="00200F48">
              <w:rPr>
                <w:rFonts w:ascii="Arial" w:hAnsi="Arial" w:cs="Arial"/>
              </w:rPr>
              <w:t>i</w:t>
            </w:r>
            <w:proofErr w:type="gramEnd"/>
            <w:r w:rsidRPr="00200F48">
              <w:rPr>
                <w:rFonts w:ascii="Arial" w:hAnsi="Arial" w:cs="Arial"/>
              </w:rPr>
              <w:t xml:space="preserve"> CBD SIP PK) we wszystkich jednostkach organizacyjnych prokuratury oraz wprowadzenie rozwiązań umożliwiających udostępnianie akt osobom uprawnionym za pośrednictwem </w:t>
            </w:r>
            <w:proofErr w:type="spellStart"/>
            <w:r w:rsidRPr="00200F48">
              <w:rPr>
                <w:rFonts w:ascii="Arial" w:hAnsi="Arial" w:cs="Arial"/>
              </w:rPr>
              <w:t>internetu</w:t>
            </w:r>
            <w:proofErr w:type="spellEnd"/>
            <w:r w:rsidRPr="00200F48">
              <w:rPr>
                <w:rFonts w:ascii="Arial" w:hAnsi="Arial" w:cs="Arial"/>
              </w:rPr>
              <w:t xml:space="preserve">. Zadania projektowe zostaną zakończone do połowy 2021 r. Na etapie przygotowywania metodyki będzie wykorzystana wersja testowa systemu, która powstanie w drugiej połowie 2020r., a na etapie szkoleń dla wskazanych we wniosku grup docelowych, wykorzystana zostanie wersja wdrożeniowa systemu, która powstanie w pierwszej </w:t>
            </w:r>
            <w:r w:rsidRPr="00200F48">
              <w:rPr>
                <w:rFonts w:ascii="Arial" w:hAnsi="Arial" w:cs="Arial"/>
              </w:rPr>
              <w:lastRenderedPageBreak/>
              <w:t>połowie 2021 r.</w:t>
            </w:r>
          </w:p>
        </w:tc>
      </w:tr>
      <w:tr w:rsidR="00200F48" w:rsidRPr="00200F48" w14:paraId="1FEEC9AC" w14:textId="77777777" w:rsidTr="00B81D3B">
        <w:trPr>
          <w:trHeight w:val="567"/>
        </w:trPr>
        <w:tc>
          <w:tcPr>
            <w:tcW w:w="9999" w:type="dxa"/>
            <w:gridSpan w:val="6"/>
            <w:tcBorders>
              <w:top w:val="single" w:sz="4" w:space="0" w:color="auto"/>
              <w:bottom w:val="single" w:sz="4" w:space="0" w:color="auto"/>
            </w:tcBorders>
            <w:shd w:val="clear" w:color="auto" w:fill="CCC0D9"/>
            <w:vAlign w:val="center"/>
          </w:tcPr>
          <w:p w14:paraId="2C825B21" w14:textId="77777777" w:rsidR="00200F48" w:rsidRPr="00200F48" w:rsidRDefault="00200F48" w:rsidP="00200F48">
            <w:pPr>
              <w:spacing w:before="120" w:after="120" w:line="360" w:lineRule="auto"/>
              <w:rPr>
                <w:rFonts w:ascii="Arial" w:hAnsi="Arial" w:cs="Arial"/>
              </w:rPr>
            </w:pPr>
            <w:r w:rsidRPr="00200F48">
              <w:rPr>
                <w:rFonts w:ascii="Arial" w:hAnsi="Arial" w:cs="Arial"/>
              </w:rPr>
              <w:lastRenderedPageBreak/>
              <w:t>Uwarunkowania skutecznej realizacji założeń interwencji publicznej (interesariusze, stan prawny, itd.)</w:t>
            </w:r>
          </w:p>
        </w:tc>
      </w:tr>
      <w:tr w:rsidR="00200F48" w:rsidRPr="00200F48" w14:paraId="78765A98" w14:textId="77777777" w:rsidTr="00B81D3B">
        <w:trPr>
          <w:trHeight w:val="567"/>
        </w:trPr>
        <w:tc>
          <w:tcPr>
            <w:tcW w:w="9999" w:type="dxa"/>
            <w:gridSpan w:val="6"/>
            <w:tcBorders>
              <w:top w:val="single" w:sz="4" w:space="0" w:color="auto"/>
              <w:bottom w:val="single" w:sz="4" w:space="0" w:color="auto"/>
            </w:tcBorders>
            <w:shd w:val="clear" w:color="auto" w:fill="auto"/>
            <w:vAlign w:val="center"/>
          </w:tcPr>
          <w:p w14:paraId="26BB864E"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Realizacja projektu nie wymaga zmiany przepisów prawa powszechnie obowiązującego. W przypadku dostrzeżenia zasadności zmiany przepisów prawa powszechnie obowiązującego zostanie opracowany stosowny postulat w trakcie przygotowania </w:t>
            </w:r>
            <w:proofErr w:type="gramStart"/>
            <w:r w:rsidRPr="00200F48">
              <w:rPr>
                <w:rFonts w:ascii="Arial" w:hAnsi="Arial" w:cs="Arial"/>
              </w:rPr>
              <w:t>metodyki lecz</w:t>
            </w:r>
            <w:proofErr w:type="gramEnd"/>
            <w:r w:rsidRPr="00200F48">
              <w:rPr>
                <w:rFonts w:ascii="Arial" w:hAnsi="Arial" w:cs="Arial"/>
              </w:rPr>
              <w:t xml:space="preserve"> jego realizacja nie będzie warunkowała wykonania zadań zaplanowanych w projekcie. Ewentualna konieczność zmiany przepisów o charakterze wewnętrznym zidentyfikowana zostanie na etapie modelowania potencjalnego sposobu realizacji procesów związanych z obsługą interesariuszy zewnętrznych. Analogiczny stan rzeczy istnieje w odniesieniu do przepisów wewnętrznych. </w:t>
            </w:r>
          </w:p>
          <w:p w14:paraId="031C285E"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Interesariuszami projektu są prokuratorzy, urzędnicy oraz inni pracownicy Prokuratury Krajowej oraz podległych jej powszechnych jednostek organizacyjnych prokuratury. Efektywne działanie prokuratury wymaga stałego doskonalenia kompetencji zawodowych pracowników, obejmujących zarówno wiedzę merytoryczną jak również techniczną związaną z usprawnieniem warsztatu pracy o wykorzystanie dedykowanego systemu informatycznego. W konsekwencji podniesienie kompetencji wskazanych pracowników prokuratury przyczyni się nie tylko do </w:t>
            </w:r>
            <w:proofErr w:type="gramStart"/>
            <w:r w:rsidRPr="00200F48">
              <w:rPr>
                <w:rFonts w:ascii="Arial" w:hAnsi="Arial" w:cs="Arial"/>
              </w:rPr>
              <w:t>poprawy jakości</w:t>
            </w:r>
            <w:proofErr w:type="gramEnd"/>
            <w:r w:rsidRPr="00200F48">
              <w:rPr>
                <w:rFonts w:ascii="Arial" w:hAnsi="Arial" w:cs="Arial"/>
              </w:rPr>
              <w:t xml:space="preserve"> i skuteczności prowadzonych postępowań przygotowawczych, a także wpłynie na sprawniejsze i efektywniejsze całościowe funkcjonowanie prokuratury w ujęciu instytucjonalnym. </w:t>
            </w:r>
          </w:p>
          <w:p w14:paraId="6A45634E"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W ramach niniejszego projektu działania skierowane zostaną do pracowników wszystkich jednostek organizacyjnych prokuratury - 357 prokuratur rejonowych, 45 prokuratur okręgowych, 11 prokuratur regionalnych oraz Prokuratury Krajowej (415 jednostek organizacyjnych). Ze względu na hierarchiczną strukturę organizacyjną prokuratury ryzyko braku wdrożenia zaprojektowanych zmian jest niskie. Ponadto włączenie przedstawicieli poszczególnych grup interesariuszy do prac nad metodyką, objętą niniejszym wnioskiem, zapewnia kontakt z rzeczywistymi potrzebami interesariuszy oraz dodatkowo wzmacnia stopień akceptacji produktów projektu. </w:t>
            </w:r>
          </w:p>
          <w:p w14:paraId="02FF9A48"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Zwiększenie świadomości i zaangażowania interesariuszy planowane jest poprzez </w:t>
            </w:r>
            <w:proofErr w:type="gramStart"/>
            <w:r w:rsidRPr="00200F48">
              <w:rPr>
                <w:rFonts w:ascii="Arial" w:hAnsi="Arial" w:cs="Arial"/>
              </w:rPr>
              <w:t>przeprowadzenie  działań</w:t>
            </w:r>
            <w:proofErr w:type="gramEnd"/>
            <w:r w:rsidRPr="00200F48">
              <w:rPr>
                <w:rFonts w:ascii="Arial" w:hAnsi="Arial" w:cs="Arial"/>
              </w:rPr>
              <w:t xml:space="preserve"> demonstracyjnych mających na celu przybliżenie pracownikom poszczególnych jednostek organizacyjnych celów i korzyści wynikających z wdrożenia projektu.</w:t>
            </w:r>
          </w:p>
          <w:p w14:paraId="22CE78B3"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Wdrażana metodyka ma uwzględniać wykorzystanie systemu informatycznego </w:t>
            </w:r>
            <w:proofErr w:type="gramStart"/>
            <w:r w:rsidRPr="00200F48">
              <w:rPr>
                <w:rFonts w:ascii="Arial" w:hAnsi="Arial" w:cs="Arial"/>
              </w:rPr>
              <w:t>PROK-SYS jako</w:t>
            </w:r>
            <w:proofErr w:type="gramEnd"/>
            <w:r w:rsidRPr="00200F48">
              <w:rPr>
                <w:rFonts w:ascii="Arial" w:hAnsi="Arial" w:cs="Arial"/>
              </w:rPr>
              <w:t xml:space="preserve"> narzędzia służącego do kompleksowej realizacji obowiązków służbowych pracowników prokuratury. </w:t>
            </w:r>
            <w:proofErr w:type="gramStart"/>
            <w:r w:rsidRPr="00200F48">
              <w:rPr>
                <w:rFonts w:ascii="Arial" w:hAnsi="Arial" w:cs="Arial"/>
              </w:rPr>
              <w:t>Wdrożenie  metodyki</w:t>
            </w:r>
            <w:proofErr w:type="gramEnd"/>
            <w:r w:rsidRPr="00200F48">
              <w:rPr>
                <w:rFonts w:ascii="Arial" w:hAnsi="Arial" w:cs="Arial"/>
              </w:rPr>
              <w:t xml:space="preserve"> poprzez przeprowadzenie szkoleń zostało zaplanowane w terminach zapewniających dostępność wersji wdrożeniowej systemu informatycznego PROK-SYS.</w:t>
            </w:r>
          </w:p>
          <w:p w14:paraId="65F93BE0" w14:textId="77777777" w:rsidR="00200F48" w:rsidRPr="00200F48" w:rsidRDefault="00200F48" w:rsidP="00200F48">
            <w:pPr>
              <w:spacing w:before="120" w:after="120" w:line="360" w:lineRule="auto"/>
              <w:rPr>
                <w:rFonts w:ascii="Arial" w:hAnsi="Arial" w:cs="Arial"/>
                <w:color w:val="000000"/>
              </w:rPr>
            </w:pPr>
            <w:r w:rsidRPr="00200F48">
              <w:rPr>
                <w:rFonts w:ascii="Arial" w:hAnsi="Arial" w:cs="Arial"/>
              </w:rPr>
              <w:t xml:space="preserve">Ryzyko związane z brakiem dostępności wersji wdrożeniowej PROK-SYS jest niskie, jednak z uwagi </w:t>
            </w:r>
            <w:r w:rsidRPr="00200F48">
              <w:rPr>
                <w:rFonts w:ascii="Arial" w:hAnsi="Arial" w:cs="Arial"/>
              </w:rPr>
              <w:lastRenderedPageBreak/>
              <w:t>na ograniczenia związane ze stanem epidemii COVID-19 odbiór poszczególnych etapów PROK-SYS może się wydłużyć. Umowę z wykonawcą podpisano w marcu 2019 roku. Odebrano projekt wykonawczy i przeprowadzono analizę biznesową (wrzesień 2019 r</w:t>
            </w:r>
            <w:proofErr w:type="gramStart"/>
            <w:r w:rsidRPr="00200F48">
              <w:rPr>
                <w:rFonts w:ascii="Arial" w:hAnsi="Arial" w:cs="Arial"/>
              </w:rPr>
              <w:t>.). Trwają</w:t>
            </w:r>
            <w:proofErr w:type="gramEnd"/>
            <w:r w:rsidRPr="00200F48">
              <w:rPr>
                <w:rFonts w:ascii="Arial" w:hAnsi="Arial" w:cs="Arial"/>
              </w:rPr>
              <w:t xml:space="preserve"> prace nad opracowaniem wersji testowej PROK-SYS. Pełne uruchomienie PROK-SYS zaplanowano na luty 2021 roku.  </w:t>
            </w:r>
          </w:p>
          <w:p w14:paraId="257AF0D8"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Wprowadzenie ujednoliconej „Metodyki” obejmującej ograniczenie obiegu akt papierowych wewnątrz prokuratury, propagację pracy stacjonarnej oraz pracy zdalnej na aktach </w:t>
            </w:r>
            <w:proofErr w:type="spellStart"/>
            <w:r w:rsidRPr="00200F48">
              <w:rPr>
                <w:rFonts w:ascii="Arial" w:hAnsi="Arial" w:cs="Arial"/>
              </w:rPr>
              <w:t>zdigitalizowanych</w:t>
            </w:r>
            <w:proofErr w:type="spellEnd"/>
            <w:r w:rsidRPr="00200F48">
              <w:rPr>
                <w:rFonts w:ascii="Arial" w:hAnsi="Arial" w:cs="Arial"/>
              </w:rPr>
              <w:t xml:space="preserve">, zapewnienie dostępu do akt </w:t>
            </w:r>
            <w:proofErr w:type="spellStart"/>
            <w:r w:rsidRPr="00200F48">
              <w:rPr>
                <w:rFonts w:ascii="Arial" w:hAnsi="Arial" w:cs="Arial"/>
              </w:rPr>
              <w:t>zdigitalizowanych</w:t>
            </w:r>
            <w:proofErr w:type="spellEnd"/>
            <w:r w:rsidRPr="00200F48">
              <w:rPr>
                <w:rFonts w:ascii="Arial" w:hAnsi="Arial" w:cs="Arial"/>
              </w:rPr>
              <w:t xml:space="preserve"> stronom postępowań poprzez sieć </w:t>
            </w:r>
            <w:proofErr w:type="spellStart"/>
            <w:r w:rsidRPr="00200F48">
              <w:rPr>
                <w:rFonts w:ascii="Arial" w:hAnsi="Arial" w:cs="Arial"/>
              </w:rPr>
              <w:t>internet</w:t>
            </w:r>
            <w:proofErr w:type="spellEnd"/>
            <w:r w:rsidRPr="00200F48">
              <w:rPr>
                <w:rFonts w:ascii="Arial" w:hAnsi="Arial" w:cs="Arial"/>
              </w:rPr>
              <w:t xml:space="preserve"> na stałe przyczyni się do poprawy sprawności postępowań w prokuraturze. W obecnej sytuacji zagrożenia epidemiologicznego wskazane rozwiązania w pełni korespondują z zapisami </w:t>
            </w:r>
            <w:r w:rsidRPr="00200F48">
              <w:rPr>
                <w:rFonts w:ascii="Arial" w:hAnsi="Arial" w:cs="Arial"/>
                <w:i/>
                <w:iCs/>
              </w:rPr>
              <w:t>ustawy o zmianie niektórych ustaw w zakresie działań osłonowych w związku z rozprzestrzenianiem się wirusa SARS-CoV-2, innych chorób zakaźnych oraz wywołanych nimi sytuacji kryzysowych oraz niektórych innych ustaw.</w:t>
            </w:r>
            <w:r w:rsidRPr="00200F48">
              <w:rPr>
                <w:rFonts w:ascii="Arial" w:hAnsi="Arial" w:cs="Arial"/>
                <w:iCs/>
              </w:rPr>
              <w:t xml:space="preserve"> Należy wskazać, że wdrożone rozwiązania zapewnią możliwość sprawnej realizacji obowiązków ustawowych Prokuratury w sytuacjach podobnych, które mogą wystąpić w przyszłości.</w:t>
            </w:r>
            <w:r w:rsidRPr="00200F48">
              <w:rPr>
                <w:rFonts w:ascii="Arial" w:hAnsi="Arial" w:cs="Arial"/>
                <w:i/>
                <w:iCs/>
              </w:rPr>
              <w:t xml:space="preserve"> </w:t>
            </w:r>
            <w:r w:rsidRPr="00200F48">
              <w:rPr>
                <w:rFonts w:ascii="Arial" w:hAnsi="Arial" w:cs="Arial"/>
              </w:rPr>
              <w:t xml:space="preserve">Zarządzanie ww. </w:t>
            </w:r>
            <w:proofErr w:type="gramStart"/>
            <w:r w:rsidRPr="00200F48">
              <w:rPr>
                <w:rFonts w:ascii="Arial" w:hAnsi="Arial" w:cs="Arial"/>
              </w:rPr>
              <w:t>ryzykiem  będzie</w:t>
            </w:r>
            <w:proofErr w:type="gramEnd"/>
            <w:r w:rsidRPr="00200F48">
              <w:rPr>
                <w:rFonts w:ascii="Arial" w:hAnsi="Arial" w:cs="Arial"/>
              </w:rPr>
              <w:t xml:space="preserve"> realizowane poprzez monitorowanie informacji o stanie realizacji projektu  „</w:t>
            </w:r>
            <w:r w:rsidRPr="00200F48">
              <w:rPr>
                <w:rFonts w:ascii="Arial" w:hAnsi="Arial" w:cs="Arial"/>
                <w:i/>
              </w:rPr>
              <w:t xml:space="preserve">Budowa i wdrożenie systemu PROK-SYS” </w:t>
            </w:r>
            <w:r w:rsidRPr="00200F48">
              <w:rPr>
                <w:rFonts w:ascii="Arial" w:hAnsi="Arial" w:cs="Arial"/>
              </w:rPr>
              <w:t>w celu aktualizacji zakresu projektu.</w:t>
            </w:r>
          </w:p>
        </w:tc>
      </w:tr>
      <w:tr w:rsidR="00200F48" w:rsidRPr="00200F48" w14:paraId="5F6A13FC" w14:textId="77777777" w:rsidTr="00B81D3B">
        <w:trPr>
          <w:trHeight w:val="567"/>
        </w:trPr>
        <w:tc>
          <w:tcPr>
            <w:tcW w:w="9999" w:type="dxa"/>
            <w:gridSpan w:val="6"/>
            <w:tcBorders>
              <w:top w:val="single" w:sz="4" w:space="0" w:color="auto"/>
              <w:bottom w:val="single" w:sz="4" w:space="0" w:color="auto"/>
            </w:tcBorders>
            <w:shd w:val="clear" w:color="auto" w:fill="CCC0D9"/>
            <w:vAlign w:val="center"/>
          </w:tcPr>
          <w:p w14:paraId="6F7E6809" w14:textId="77777777" w:rsidR="00200F48" w:rsidRPr="00200F48" w:rsidRDefault="00200F48" w:rsidP="00200F48">
            <w:pPr>
              <w:spacing w:before="120" w:after="120" w:line="360" w:lineRule="auto"/>
              <w:rPr>
                <w:rFonts w:ascii="Arial" w:hAnsi="Arial" w:cs="Arial"/>
              </w:rPr>
            </w:pPr>
            <w:r w:rsidRPr="00200F48">
              <w:rPr>
                <w:rFonts w:ascii="Arial" w:hAnsi="Arial" w:cs="Arial"/>
              </w:rPr>
              <w:lastRenderedPageBreak/>
              <w:t xml:space="preserve">Dalsze etapy planowane do wdrożenia poza projektem, o ile zostaną spełnione warunki umożliwiające </w:t>
            </w:r>
            <w:proofErr w:type="gramStart"/>
            <w:r w:rsidRPr="00200F48">
              <w:rPr>
                <w:rFonts w:ascii="Arial" w:hAnsi="Arial" w:cs="Arial"/>
              </w:rPr>
              <w:t>ich . skuteczne</w:t>
            </w:r>
            <w:proofErr w:type="gramEnd"/>
            <w:r w:rsidRPr="00200F48">
              <w:rPr>
                <w:rFonts w:ascii="Arial" w:hAnsi="Arial" w:cs="Arial"/>
              </w:rPr>
              <w:t xml:space="preserve"> wykonanie</w:t>
            </w:r>
          </w:p>
        </w:tc>
      </w:tr>
      <w:tr w:rsidR="00200F48" w:rsidRPr="00200F48" w14:paraId="67A6956D" w14:textId="77777777" w:rsidTr="00B81D3B">
        <w:trPr>
          <w:trHeight w:val="567"/>
        </w:trPr>
        <w:tc>
          <w:tcPr>
            <w:tcW w:w="9999" w:type="dxa"/>
            <w:gridSpan w:val="6"/>
            <w:tcBorders>
              <w:top w:val="single" w:sz="4" w:space="0" w:color="auto"/>
              <w:bottom w:val="single" w:sz="12" w:space="0" w:color="auto"/>
            </w:tcBorders>
            <w:shd w:val="clear" w:color="auto" w:fill="auto"/>
            <w:vAlign w:val="center"/>
          </w:tcPr>
          <w:p w14:paraId="038D87FD"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Zakłada się, że w kolejnych etapach, po zakończeniu działań planowanych w niniejszym projekcie, realizowane będą działania związane z utrzymaniem metodyki (okresowy przegląd oraz aktualizacja opracowanej metodyki). Nowi pracownicy jednostek organizacyjnych prokuratury będą zapoznawać się z przygotowanymi w ramach projektu materiałami e-learningowymi, przygotowanymi w ramach wdrożenia metodyki, dotyczącymi realizacji przypisanych obowiązków służbowych z wykorzystaniem systemu informatycznego PROK-SYS. </w:t>
            </w:r>
          </w:p>
        </w:tc>
      </w:tr>
      <w:tr w:rsidR="00200F48" w:rsidRPr="00200F48" w14:paraId="57463344" w14:textId="77777777" w:rsidTr="00B81D3B">
        <w:trPr>
          <w:trHeight w:val="396"/>
        </w:trPr>
        <w:tc>
          <w:tcPr>
            <w:tcW w:w="9999" w:type="dxa"/>
            <w:gridSpan w:val="6"/>
            <w:tcBorders>
              <w:top w:val="single" w:sz="12" w:space="0" w:color="auto"/>
              <w:bottom w:val="single" w:sz="12" w:space="0" w:color="auto"/>
            </w:tcBorders>
            <w:shd w:val="clear" w:color="auto" w:fill="CCC0D9"/>
            <w:vAlign w:val="center"/>
          </w:tcPr>
          <w:p w14:paraId="7CBF705A" w14:textId="77777777" w:rsidR="00200F48" w:rsidRPr="00200F48" w:rsidRDefault="00200F48" w:rsidP="00200F48">
            <w:pPr>
              <w:spacing w:before="120" w:after="120" w:line="360" w:lineRule="auto"/>
              <w:rPr>
                <w:rFonts w:ascii="Arial" w:hAnsi="Arial" w:cs="Arial"/>
                <w:b/>
              </w:rPr>
            </w:pPr>
            <w:r w:rsidRPr="00200F48">
              <w:rPr>
                <w:rFonts w:ascii="Arial" w:hAnsi="Arial" w:cs="Arial"/>
                <w:b/>
              </w:rPr>
              <w:t>ZAKŁADANE EFEKTY PROJEKTU WYRAŻONE WSKAŹNIKAMI (W PODZIALE NA PŁEĆ I OGÓŁEM)</w:t>
            </w:r>
          </w:p>
        </w:tc>
      </w:tr>
      <w:tr w:rsidR="00200F48" w:rsidRPr="00200F48" w14:paraId="460EC42B" w14:textId="77777777" w:rsidTr="00B81D3B">
        <w:trPr>
          <w:trHeight w:val="455"/>
        </w:trPr>
        <w:tc>
          <w:tcPr>
            <w:tcW w:w="9999" w:type="dxa"/>
            <w:gridSpan w:val="6"/>
            <w:tcBorders>
              <w:top w:val="single" w:sz="12" w:space="0" w:color="auto"/>
              <w:bottom w:val="single" w:sz="12" w:space="0" w:color="auto"/>
            </w:tcBorders>
            <w:shd w:val="clear" w:color="auto" w:fill="CCC0D9"/>
            <w:vAlign w:val="center"/>
          </w:tcPr>
          <w:p w14:paraId="3B299A3C" w14:textId="77777777" w:rsidR="00200F48" w:rsidRPr="00200F48" w:rsidRDefault="00200F48" w:rsidP="00200F48">
            <w:pPr>
              <w:spacing w:before="120" w:after="120" w:line="360" w:lineRule="auto"/>
              <w:rPr>
                <w:rFonts w:ascii="Arial" w:hAnsi="Arial" w:cs="Arial"/>
                <w:b/>
              </w:rPr>
            </w:pPr>
            <w:r w:rsidRPr="00200F48">
              <w:rPr>
                <w:rFonts w:ascii="Arial" w:hAnsi="Arial" w:cs="Arial"/>
                <w:b/>
              </w:rPr>
              <w:t>WSKAŹNIKI REZULTATU</w:t>
            </w:r>
          </w:p>
        </w:tc>
      </w:tr>
      <w:tr w:rsidR="00200F48" w:rsidRPr="00200F48" w14:paraId="2694A4FC" w14:textId="77777777" w:rsidTr="00B81D3B">
        <w:trPr>
          <w:trHeight w:val="567"/>
        </w:trPr>
        <w:tc>
          <w:tcPr>
            <w:tcW w:w="5659" w:type="dxa"/>
            <w:gridSpan w:val="3"/>
            <w:vMerge w:val="restart"/>
            <w:tcBorders>
              <w:top w:val="single" w:sz="12" w:space="0" w:color="auto"/>
              <w:right w:val="single" w:sz="6" w:space="0" w:color="auto"/>
            </w:tcBorders>
            <w:shd w:val="clear" w:color="auto" w:fill="CCC0D9"/>
            <w:vAlign w:val="center"/>
          </w:tcPr>
          <w:p w14:paraId="3F886D54" w14:textId="77777777" w:rsidR="00200F48" w:rsidRPr="00200F48" w:rsidRDefault="00200F48" w:rsidP="00200F48">
            <w:pPr>
              <w:spacing w:before="120" w:after="120" w:line="360" w:lineRule="auto"/>
              <w:rPr>
                <w:rFonts w:ascii="Arial" w:hAnsi="Arial" w:cs="Arial"/>
              </w:rPr>
            </w:pPr>
            <w:r w:rsidRPr="00200F48">
              <w:rPr>
                <w:rFonts w:ascii="Arial" w:hAnsi="Arial" w:cs="Arial"/>
              </w:rPr>
              <w:t>Nazwa wskaźnika</w:t>
            </w:r>
          </w:p>
        </w:tc>
        <w:tc>
          <w:tcPr>
            <w:tcW w:w="4340" w:type="dxa"/>
            <w:gridSpan w:val="3"/>
            <w:tcBorders>
              <w:top w:val="single" w:sz="12" w:space="0" w:color="auto"/>
              <w:left w:val="single" w:sz="6" w:space="0" w:color="auto"/>
              <w:bottom w:val="single" w:sz="6" w:space="0" w:color="auto"/>
            </w:tcBorders>
            <w:shd w:val="clear" w:color="auto" w:fill="CCC0D9"/>
            <w:vAlign w:val="center"/>
          </w:tcPr>
          <w:p w14:paraId="6FD702D5" w14:textId="77777777" w:rsidR="00200F48" w:rsidRPr="00200F48" w:rsidRDefault="00200F48" w:rsidP="00200F48">
            <w:pPr>
              <w:spacing w:before="120" w:after="120" w:line="360" w:lineRule="auto"/>
              <w:rPr>
                <w:rFonts w:ascii="Arial" w:hAnsi="Arial" w:cs="Arial"/>
              </w:rPr>
            </w:pPr>
            <w:r w:rsidRPr="00200F48">
              <w:rPr>
                <w:rFonts w:ascii="Arial" w:hAnsi="Arial" w:cs="Arial"/>
              </w:rPr>
              <w:t>Wartość docelowa</w:t>
            </w:r>
          </w:p>
        </w:tc>
      </w:tr>
      <w:tr w:rsidR="00200F48" w:rsidRPr="00200F48" w14:paraId="62476C10" w14:textId="77777777" w:rsidTr="00B81D3B">
        <w:trPr>
          <w:trHeight w:val="567"/>
        </w:trPr>
        <w:tc>
          <w:tcPr>
            <w:tcW w:w="5659" w:type="dxa"/>
            <w:gridSpan w:val="3"/>
            <w:vMerge/>
            <w:tcBorders>
              <w:right w:val="single" w:sz="6" w:space="0" w:color="auto"/>
            </w:tcBorders>
            <w:shd w:val="clear" w:color="auto" w:fill="CCC0D9"/>
            <w:vAlign w:val="center"/>
          </w:tcPr>
          <w:p w14:paraId="2F8A17E9" w14:textId="77777777" w:rsidR="00200F48" w:rsidRPr="00200F48" w:rsidRDefault="00200F48" w:rsidP="00200F48">
            <w:pPr>
              <w:spacing w:before="120" w:after="120" w:line="360" w:lineRule="auto"/>
              <w:rPr>
                <w:rFonts w:ascii="Arial" w:hAnsi="Arial" w:cs="Arial"/>
              </w:rPr>
            </w:pPr>
          </w:p>
        </w:tc>
        <w:tc>
          <w:tcPr>
            <w:tcW w:w="3223" w:type="dxa"/>
            <w:gridSpan w:val="2"/>
            <w:tcBorders>
              <w:top w:val="single" w:sz="6" w:space="0" w:color="auto"/>
              <w:left w:val="single" w:sz="6" w:space="0" w:color="auto"/>
              <w:bottom w:val="single" w:sz="6" w:space="0" w:color="auto"/>
              <w:right w:val="single" w:sz="6" w:space="0" w:color="auto"/>
            </w:tcBorders>
            <w:shd w:val="clear" w:color="auto" w:fill="CCC0D9"/>
            <w:vAlign w:val="center"/>
          </w:tcPr>
          <w:p w14:paraId="5FC4209B" w14:textId="77777777" w:rsidR="00200F48" w:rsidRPr="00200F48" w:rsidRDefault="00200F48" w:rsidP="00200F48">
            <w:pPr>
              <w:spacing w:before="120" w:after="120" w:line="360" w:lineRule="auto"/>
              <w:rPr>
                <w:rFonts w:ascii="Arial" w:hAnsi="Arial" w:cs="Arial"/>
              </w:rPr>
            </w:pPr>
            <w:r w:rsidRPr="00200F48">
              <w:rPr>
                <w:rFonts w:ascii="Arial" w:hAnsi="Arial" w:cs="Arial"/>
              </w:rPr>
              <w:t>W podziale na:</w:t>
            </w:r>
            <w:r w:rsidRPr="00200F48">
              <w:rPr>
                <w:rFonts w:ascii="Arial" w:hAnsi="Arial" w:cs="Arial"/>
                <w:vertAlign w:val="superscript"/>
              </w:rPr>
              <w:footnoteReference w:id="31"/>
            </w:r>
          </w:p>
        </w:tc>
        <w:tc>
          <w:tcPr>
            <w:tcW w:w="0" w:type="auto"/>
            <w:vMerge w:val="restart"/>
            <w:tcBorders>
              <w:top w:val="single" w:sz="6" w:space="0" w:color="auto"/>
              <w:left w:val="single" w:sz="6" w:space="0" w:color="auto"/>
            </w:tcBorders>
            <w:shd w:val="clear" w:color="auto" w:fill="CCC0D9"/>
            <w:vAlign w:val="center"/>
          </w:tcPr>
          <w:p w14:paraId="0223C7C8" w14:textId="77777777" w:rsidR="00200F48" w:rsidRPr="00200F48" w:rsidRDefault="00200F48" w:rsidP="00200F48">
            <w:pPr>
              <w:spacing w:before="120" w:after="120" w:line="360" w:lineRule="auto"/>
              <w:rPr>
                <w:rFonts w:ascii="Arial" w:hAnsi="Arial" w:cs="Arial"/>
              </w:rPr>
            </w:pPr>
            <w:r w:rsidRPr="00200F48">
              <w:rPr>
                <w:rFonts w:ascii="Arial" w:hAnsi="Arial" w:cs="Arial"/>
              </w:rPr>
              <w:t xml:space="preserve">Ogółem </w:t>
            </w:r>
            <w:r w:rsidRPr="00200F48">
              <w:rPr>
                <w:rFonts w:ascii="Arial" w:hAnsi="Arial" w:cs="Arial"/>
              </w:rPr>
              <w:lastRenderedPageBreak/>
              <w:t>w projekcie</w:t>
            </w:r>
          </w:p>
          <w:p w14:paraId="31B40598" w14:textId="77777777" w:rsidR="00200F48" w:rsidRPr="00200F48" w:rsidRDefault="00200F48" w:rsidP="00200F48">
            <w:pPr>
              <w:spacing w:before="120" w:after="120" w:line="360" w:lineRule="auto"/>
              <w:rPr>
                <w:rFonts w:ascii="Arial" w:hAnsi="Arial" w:cs="Arial"/>
              </w:rPr>
            </w:pPr>
          </w:p>
        </w:tc>
      </w:tr>
      <w:tr w:rsidR="00200F48" w:rsidRPr="00200F48" w14:paraId="7962EECE" w14:textId="77777777" w:rsidTr="00B81D3B">
        <w:trPr>
          <w:trHeight w:val="567"/>
        </w:trPr>
        <w:tc>
          <w:tcPr>
            <w:tcW w:w="5659" w:type="dxa"/>
            <w:gridSpan w:val="3"/>
            <w:vMerge/>
            <w:tcBorders>
              <w:bottom w:val="single" w:sz="6" w:space="0" w:color="auto"/>
              <w:right w:val="single" w:sz="6" w:space="0" w:color="auto"/>
            </w:tcBorders>
            <w:shd w:val="clear" w:color="auto" w:fill="CCC0D9"/>
            <w:vAlign w:val="center"/>
          </w:tcPr>
          <w:p w14:paraId="69099C78" w14:textId="77777777" w:rsidR="00200F48" w:rsidRPr="00200F48" w:rsidRDefault="00200F48" w:rsidP="00200F48">
            <w:pPr>
              <w:spacing w:before="120" w:after="120" w:line="360" w:lineRule="auto"/>
              <w:rPr>
                <w:rFonts w:ascii="Arial" w:hAnsi="Arial" w:cs="Arial"/>
              </w:rPr>
            </w:pPr>
          </w:p>
        </w:tc>
        <w:tc>
          <w:tcPr>
            <w:tcW w:w="1746" w:type="dxa"/>
            <w:tcBorders>
              <w:top w:val="single" w:sz="6" w:space="0" w:color="auto"/>
              <w:left w:val="single" w:sz="6" w:space="0" w:color="auto"/>
              <w:bottom w:val="single" w:sz="6" w:space="0" w:color="auto"/>
              <w:right w:val="single" w:sz="6" w:space="0" w:color="auto"/>
            </w:tcBorders>
            <w:shd w:val="clear" w:color="auto" w:fill="CCC0D9"/>
            <w:vAlign w:val="center"/>
          </w:tcPr>
          <w:p w14:paraId="30C48EB2" w14:textId="77777777" w:rsidR="00200F48" w:rsidRPr="00200F48" w:rsidRDefault="00200F48" w:rsidP="00200F48">
            <w:pPr>
              <w:spacing w:before="120" w:after="120" w:line="360" w:lineRule="auto"/>
              <w:rPr>
                <w:rFonts w:ascii="Arial" w:hAnsi="Arial" w:cs="Arial"/>
              </w:rPr>
            </w:pPr>
            <w:r w:rsidRPr="00200F48">
              <w:rPr>
                <w:rFonts w:ascii="Arial" w:hAnsi="Arial" w:cs="Arial"/>
              </w:rPr>
              <w:t>Kobiety</w:t>
            </w:r>
          </w:p>
        </w:tc>
        <w:tc>
          <w:tcPr>
            <w:tcW w:w="1477" w:type="dxa"/>
            <w:tcBorders>
              <w:top w:val="single" w:sz="6" w:space="0" w:color="auto"/>
              <w:left w:val="single" w:sz="6" w:space="0" w:color="auto"/>
              <w:bottom w:val="single" w:sz="6" w:space="0" w:color="auto"/>
              <w:right w:val="single" w:sz="6" w:space="0" w:color="auto"/>
            </w:tcBorders>
            <w:shd w:val="clear" w:color="auto" w:fill="CCC0D9"/>
            <w:vAlign w:val="center"/>
          </w:tcPr>
          <w:p w14:paraId="7FA31A1A" w14:textId="77777777" w:rsidR="00200F48" w:rsidRPr="00200F48" w:rsidRDefault="00200F48" w:rsidP="00200F48">
            <w:pPr>
              <w:spacing w:before="120" w:after="120" w:line="360" w:lineRule="auto"/>
              <w:rPr>
                <w:rFonts w:ascii="Arial" w:hAnsi="Arial" w:cs="Arial"/>
              </w:rPr>
            </w:pPr>
            <w:r w:rsidRPr="00200F48">
              <w:rPr>
                <w:rFonts w:ascii="Arial" w:hAnsi="Arial" w:cs="Arial"/>
              </w:rPr>
              <w:t>Mężczyzn</w:t>
            </w:r>
          </w:p>
        </w:tc>
        <w:tc>
          <w:tcPr>
            <w:tcW w:w="0" w:type="auto"/>
            <w:vMerge/>
            <w:tcBorders>
              <w:left w:val="single" w:sz="6" w:space="0" w:color="auto"/>
              <w:bottom w:val="single" w:sz="6" w:space="0" w:color="auto"/>
            </w:tcBorders>
            <w:shd w:val="clear" w:color="auto" w:fill="CCC0D9"/>
            <w:vAlign w:val="center"/>
          </w:tcPr>
          <w:p w14:paraId="2F2D56AD" w14:textId="77777777" w:rsidR="00200F48" w:rsidRPr="00200F48" w:rsidRDefault="00200F48" w:rsidP="00200F48">
            <w:pPr>
              <w:spacing w:before="120" w:after="120" w:line="360" w:lineRule="auto"/>
              <w:rPr>
                <w:rFonts w:ascii="Arial" w:hAnsi="Arial" w:cs="Arial"/>
              </w:rPr>
            </w:pPr>
          </w:p>
        </w:tc>
      </w:tr>
      <w:tr w:rsidR="00200F48" w:rsidRPr="00200F48" w14:paraId="470CDBBE" w14:textId="77777777" w:rsidTr="00B81D3B">
        <w:trPr>
          <w:trHeight w:val="433"/>
        </w:trPr>
        <w:tc>
          <w:tcPr>
            <w:tcW w:w="5659" w:type="dxa"/>
            <w:gridSpan w:val="3"/>
            <w:tcBorders>
              <w:top w:val="single" w:sz="6" w:space="0" w:color="auto"/>
              <w:bottom w:val="single" w:sz="6" w:space="0" w:color="auto"/>
              <w:right w:val="single" w:sz="6" w:space="0" w:color="auto"/>
            </w:tcBorders>
            <w:shd w:val="clear" w:color="auto" w:fill="FFFFFF"/>
            <w:vAlign w:val="center"/>
          </w:tcPr>
          <w:p w14:paraId="63704B5F" w14:textId="77777777" w:rsidR="00200F48" w:rsidRPr="00200F48" w:rsidRDefault="00200F48" w:rsidP="00200F48">
            <w:pPr>
              <w:tabs>
                <w:tab w:val="left" w:pos="0"/>
                <w:tab w:val="left" w:pos="34"/>
              </w:tabs>
              <w:spacing w:before="120" w:after="120" w:line="360" w:lineRule="auto"/>
              <w:ind w:right="-32"/>
              <w:rPr>
                <w:rFonts w:ascii="Arial" w:hAnsi="Arial" w:cs="Arial"/>
              </w:rPr>
            </w:pPr>
            <w:r w:rsidRPr="00200F48">
              <w:rPr>
                <w:rFonts w:ascii="Arial" w:hAnsi="Arial" w:cs="Arial"/>
              </w:rPr>
              <w:lastRenderedPageBreak/>
              <w:t xml:space="preserve">Liczba sądów oraz jednostek organizacyjnych prokuratury, w których wdrożono usprawnienia w zakresie zarządzania </w:t>
            </w:r>
            <w:proofErr w:type="gramStart"/>
            <w:r w:rsidRPr="00200F48">
              <w:rPr>
                <w:rFonts w:ascii="Arial" w:hAnsi="Arial" w:cs="Arial"/>
              </w:rPr>
              <w:t>i  komunikacji</w:t>
            </w:r>
            <w:proofErr w:type="gramEnd"/>
          </w:p>
        </w:tc>
        <w:tc>
          <w:tcPr>
            <w:tcW w:w="1746" w:type="dxa"/>
            <w:tcBorders>
              <w:top w:val="single" w:sz="6" w:space="0" w:color="auto"/>
              <w:left w:val="single" w:sz="6" w:space="0" w:color="auto"/>
              <w:bottom w:val="single" w:sz="6" w:space="0" w:color="auto"/>
              <w:right w:val="single" w:sz="6" w:space="0" w:color="auto"/>
            </w:tcBorders>
            <w:shd w:val="clear" w:color="auto" w:fill="FFFFFF"/>
            <w:vAlign w:val="center"/>
          </w:tcPr>
          <w:p w14:paraId="66086323" w14:textId="77777777" w:rsidR="00200F48" w:rsidRPr="00200F48" w:rsidRDefault="00200F48" w:rsidP="00200F48">
            <w:pPr>
              <w:spacing w:before="120" w:after="120" w:line="360" w:lineRule="auto"/>
              <w:rPr>
                <w:rFonts w:ascii="Arial" w:hAnsi="Arial" w:cs="Arial"/>
              </w:rPr>
            </w:pP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14:paraId="6AD01792" w14:textId="77777777" w:rsidR="00200F48" w:rsidRPr="00200F48" w:rsidRDefault="00200F48" w:rsidP="00200F48">
            <w:pPr>
              <w:spacing w:before="120" w:after="120" w:line="360" w:lineRule="auto"/>
              <w:rPr>
                <w:rFonts w:ascii="Arial" w:hAnsi="Arial" w:cs="Arial"/>
              </w:rPr>
            </w:pPr>
          </w:p>
        </w:tc>
        <w:tc>
          <w:tcPr>
            <w:tcW w:w="0" w:type="auto"/>
            <w:tcBorders>
              <w:top w:val="single" w:sz="6" w:space="0" w:color="auto"/>
              <w:left w:val="single" w:sz="6" w:space="0" w:color="auto"/>
              <w:bottom w:val="single" w:sz="6" w:space="0" w:color="auto"/>
            </w:tcBorders>
            <w:shd w:val="clear" w:color="auto" w:fill="FFFFFF"/>
            <w:vAlign w:val="center"/>
          </w:tcPr>
          <w:p w14:paraId="4C251E6B" w14:textId="77777777" w:rsidR="00200F48" w:rsidRPr="00200F48" w:rsidRDefault="00200F48" w:rsidP="00200F48">
            <w:pPr>
              <w:spacing w:before="120" w:after="120" w:line="360" w:lineRule="auto"/>
              <w:rPr>
                <w:rFonts w:ascii="Arial" w:hAnsi="Arial" w:cs="Arial"/>
              </w:rPr>
            </w:pPr>
            <w:r w:rsidRPr="00200F48">
              <w:rPr>
                <w:rFonts w:ascii="Arial" w:hAnsi="Arial" w:cs="Arial"/>
              </w:rPr>
              <w:t>415</w:t>
            </w:r>
          </w:p>
        </w:tc>
      </w:tr>
      <w:tr w:rsidR="00200F48" w:rsidRPr="00200F48" w14:paraId="46B39200" w14:textId="77777777" w:rsidTr="00B81D3B">
        <w:trPr>
          <w:trHeight w:val="567"/>
        </w:trPr>
        <w:tc>
          <w:tcPr>
            <w:tcW w:w="9999" w:type="dxa"/>
            <w:gridSpan w:val="6"/>
            <w:tcBorders>
              <w:top w:val="single" w:sz="12" w:space="0" w:color="auto"/>
              <w:bottom w:val="single" w:sz="12" w:space="0" w:color="auto"/>
            </w:tcBorders>
            <w:shd w:val="clear" w:color="auto" w:fill="CCC0D9"/>
            <w:vAlign w:val="center"/>
          </w:tcPr>
          <w:p w14:paraId="5356DEF0" w14:textId="77777777" w:rsidR="00200F48" w:rsidRPr="00200F48" w:rsidRDefault="00200F48" w:rsidP="00200F48">
            <w:pPr>
              <w:spacing w:before="120" w:after="120" w:line="360" w:lineRule="auto"/>
              <w:ind w:left="57"/>
              <w:rPr>
                <w:rFonts w:ascii="Arial" w:hAnsi="Arial" w:cs="Arial"/>
                <w:b/>
              </w:rPr>
            </w:pPr>
            <w:r w:rsidRPr="00200F48">
              <w:rPr>
                <w:rFonts w:ascii="Arial" w:hAnsi="Arial" w:cs="Arial"/>
                <w:b/>
              </w:rPr>
              <w:t>WSKAŹNIKI PRODUKTU</w:t>
            </w:r>
          </w:p>
        </w:tc>
      </w:tr>
      <w:tr w:rsidR="00200F48" w:rsidRPr="00200F48" w14:paraId="7EC1CFCE" w14:textId="77777777" w:rsidTr="00B81D3B">
        <w:trPr>
          <w:trHeight w:val="567"/>
        </w:trPr>
        <w:tc>
          <w:tcPr>
            <w:tcW w:w="5659" w:type="dxa"/>
            <w:gridSpan w:val="3"/>
            <w:vMerge w:val="restart"/>
            <w:tcBorders>
              <w:top w:val="single" w:sz="12" w:space="0" w:color="auto"/>
              <w:left w:val="single" w:sz="12" w:space="0" w:color="auto"/>
              <w:right w:val="single" w:sz="6" w:space="0" w:color="auto"/>
            </w:tcBorders>
            <w:shd w:val="clear" w:color="auto" w:fill="CCC0D9"/>
            <w:vAlign w:val="center"/>
          </w:tcPr>
          <w:p w14:paraId="71F4EAA8" w14:textId="77777777" w:rsidR="00200F48" w:rsidRPr="00200F48" w:rsidRDefault="00200F48" w:rsidP="00200F48">
            <w:pPr>
              <w:spacing w:before="120" w:after="120" w:line="360" w:lineRule="auto"/>
              <w:rPr>
                <w:rFonts w:ascii="Arial" w:hAnsi="Arial" w:cs="Arial"/>
              </w:rPr>
            </w:pPr>
            <w:r w:rsidRPr="00200F48">
              <w:rPr>
                <w:rFonts w:ascii="Arial" w:hAnsi="Arial" w:cs="Arial"/>
              </w:rPr>
              <w:t>Nazwa wskaźnika</w:t>
            </w:r>
          </w:p>
        </w:tc>
        <w:tc>
          <w:tcPr>
            <w:tcW w:w="4340" w:type="dxa"/>
            <w:gridSpan w:val="3"/>
            <w:tcBorders>
              <w:top w:val="single" w:sz="12" w:space="0" w:color="auto"/>
              <w:left w:val="single" w:sz="6" w:space="0" w:color="auto"/>
              <w:bottom w:val="single" w:sz="6" w:space="0" w:color="auto"/>
              <w:right w:val="single" w:sz="12" w:space="0" w:color="auto"/>
            </w:tcBorders>
            <w:shd w:val="clear" w:color="auto" w:fill="CCC0D9"/>
            <w:vAlign w:val="center"/>
          </w:tcPr>
          <w:p w14:paraId="5BDB1502" w14:textId="77777777" w:rsidR="00200F48" w:rsidRPr="00200F48" w:rsidRDefault="00200F48" w:rsidP="00200F48">
            <w:pPr>
              <w:spacing w:before="120" w:after="120" w:line="360" w:lineRule="auto"/>
              <w:rPr>
                <w:rFonts w:ascii="Arial" w:hAnsi="Arial" w:cs="Arial"/>
              </w:rPr>
            </w:pPr>
            <w:r w:rsidRPr="00200F48">
              <w:rPr>
                <w:rFonts w:ascii="Arial" w:hAnsi="Arial" w:cs="Arial"/>
              </w:rPr>
              <w:t>Wartość docelowa</w:t>
            </w:r>
          </w:p>
        </w:tc>
      </w:tr>
      <w:tr w:rsidR="00200F48" w:rsidRPr="00200F48" w14:paraId="05155BD9" w14:textId="77777777" w:rsidTr="00B81D3B">
        <w:trPr>
          <w:trHeight w:val="567"/>
        </w:trPr>
        <w:tc>
          <w:tcPr>
            <w:tcW w:w="5659" w:type="dxa"/>
            <w:gridSpan w:val="3"/>
            <w:vMerge/>
            <w:tcBorders>
              <w:left w:val="single" w:sz="12" w:space="0" w:color="auto"/>
              <w:right w:val="single" w:sz="6" w:space="0" w:color="auto"/>
            </w:tcBorders>
            <w:shd w:val="clear" w:color="auto" w:fill="CCC0D9"/>
            <w:vAlign w:val="center"/>
          </w:tcPr>
          <w:p w14:paraId="6C4E091F" w14:textId="77777777" w:rsidR="00200F48" w:rsidRPr="00200F48" w:rsidRDefault="00200F48" w:rsidP="00200F48">
            <w:pPr>
              <w:spacing w:before="120" w:after="120" w:line="360" w:lineRule="auto"/>
              <w:ind w:left="57"/>
              <w:rPr>
                <w:rFonts w:ascii="Arial" w:hAnsi="Arial" w:cs="Arial"/>
                <w:b/>
              </w:rPr>
            </w:pPr>
          </w:p>
        </w:tc>
        <w:tc>
          <w:tcPr>
            <w:tcW w:w="3223" w:type="dxa"/>
            <w:gridSpan w:val="2"/>
            <w:tcBorders>
              <w:top w:val="single" w:sz="6" w:space="0" w:color="auto"/>
              <w:left w:val="single" w:sz="6" w:space="0" w:color="auto"/>
              <w:bottom w:val="single" w:sz="6" w:space="0" w:color="auto"/>
              <w:right w:val="single" w:sz="6" w:space="0" w:color="auto"/>
            </w:tcBorders>
            <w:shd w:val="clear" w:color="auto" w:fill="CCC0D9"/>
            <w:vAlign w:val="center"/>
          </w:tcPr>
          <w:p w14:paraId="08C0CAB3" w14:textId="77777777" w:rsidR="00200F48" w:rsidRPr="00200F48" w:rsidRDefault="00200F48" w:rsidP="00200F48">
            <w:pPr>
              <w:spacing w:before="120" w:after="120" w:line="360" w:lineRule="auto"/>
              <w:rPr>
                <w:rFonts w:ascii="Arial" w:hAnsi="Arial" w:cs="Arial"/>
              </w:rPr>
            </w:pPr>
            <w:r w:rsidRPr="00200F48">
              <w:rPr>
                <w:rFonts w:ascii="Arial" w:hAnsi="Arial" w:cs="Arial"/>
              </w:rPr>
              <w:t>W podziale na:</w:t>
            </w:r>
            <w:r w:rsidRPr="00200F48">
              <w:rPr>
                <w:rFonts w:ascii="Arial" w:hAnsi="Arial" w:cs="Arial"/>
                <w:vertAlign w:val="superscript"/>
              </w:rPr>
              <w:footnoteReference w:id="32"/>
            </w:r>
          </w:p>
        </w:tc>
        <w:tc>
          <w:tcPr>
            <w:tcW w:w="0" w:type="auto"/>
            <w:vMerge w:val="restart"/>
            <w:tcBorders>
              <w:top w:val="single" w:sz="6" w:space="0" w:color="auto"/>
              <w:left w:val="single" w:sz="6" w:space="0" w:color="auto"/>
              <w:right w:val="single" w:sz="12" w:space="0" w:color="auto"/>
            </w:tcBorders>
            <w:shd w:val="clear" w:color="auto" w:fill="CCC0D9"/>
            <w:vAlign w:val="center"/>
          </w:tcPr>
          <w:p w14:paraId="672CDFCF" w14:textId="77777777" w:rsidR="00200F48" w:rsidRPr="00200F48" w:rsidRDefault="00200F48" w:rsidP="00200F48">
            <w:pPr>
              <w:spacing w:before="120" w:after="120" w:line="360" w:lineRule="auto"/>
              <w:rPr>
                <w:rFonts w:ascii="Arial" w:hAnsi="Arial" w:cs="Arial"/>
              </w:rPr>
            </w:pPr>
            <w:r w:rsidRPr="00200F48">
              <w:rPr>
                <w:rFonts w:ascii="Arial" w:hAnsi="Arial" w:cs="Arial"/>
              </w:rPr>
              <w:t>Ogółem w projekcie</w:t>
            </w:r>
          </w:p>
          <w:p w14:paraId="3F92FD8A" w14:textId="77777777" w:rsidR="00200F48" w:rsidRPr="00200F48" w:rsidRDefault="00200F48" w:rsidP="00200F48">
            <w:pPr>
              <w:spacing w:before="120" w:after="120" w:line="360" w:lineRule="auto"/>
              <w:rPr>
                <w:rFonts w:ascii="Arial" w:hAnsi="Arial" w:cs="Arial"/>
              </w:rPr>
            </w:pPr>
          </w:p>
        </w:tc>
      </w:tr>
      <w:tr w:rsidR="00200F48" w:rsidRPr="00200F48" w14:paraId="12C4B3E9" w14:textId="77777777" w:rsidTr="00B81D3B">
        <w:trPr>
          <w:trHeight w:val="567"/>
        </w:trPr>
        <w:tc>
          <w:tcPr>
            <w:tcW w:w="5659" w:type="dxa"/>
            <w:gridSpan w:val="3"/>
            <w:vMerge/>
            <w:tcBorders>
              <w:left w:val="single" w:sz="12" w:space="0" w:color="auto"/>
              <w:bottom w:val="single" w:sz="6" w:space="0" w:color="auto"/>
              <w:right w:val="single" w:sz="6" w:space="0" w:color="auto"/>
            </w:tcBorders>
            <w:shd w:val="clear" w:color="auto" w:fill="CCC0D9"/>
            <w:vAlign w:val="center"/>
          </w:tcPr>
          <w:p w14:paraId="1F71369A" w14:textId="77777777" w:rsidR="00200F48" w:rsidRPr="00200F48" w:rsidRDefault="00200F48" w:rsidP="00200F48">
            <w:pPr>
              <w:spacing w:before="120" w:after="120" w:line="360" w:lineRule="auto"/>
              <w:ind w:left="57"/>
              <w:rPr>
                <w:rFonts w:ascii="Arial" w:hAnsi="Arial" w:cs="Arial"/>
                <w:b/>
              </w:rPr>
            </w:pPr>
          </w:p>
        </w:tc>
        <w:tc>
          <w:tcPr>
            <w:tcW w:w="1746" w:type="dxa"/>
            <w:tcBorders>
              <w:top w:val="single" w:sz="6" w:space="0" w:color="auto"/>
              <w:left w:val="single" w:sz="6" w:space="0" w:color="auto"/>
              <w:bottom w:val="single" w:sz="6" w:space="0" w:color="auto"/>
              <w:right w:val="single" w:sz="6" w:space="0" w:color="auto"/>
            </w:tcBorders>
            <w:shd w:val="clear" w:color="auto" w:fill="CCC0D9"/>
            <w:vAlign w:val="center"/>
          </w:tcPr>
          <w:p w14:paraId="55487036" w14:textId="77777777" w:rsidR="00200F48" w:rsidRPr="00200F48" w:rsidRDefault="00200F48" w:rsidP="00200F48">
            <w:pPr>
              <w:spacing w:before="120" w:after="120" w:line="360" w:lineRule="auto"/>
              <w:rPr>
                <w:rFonts w:ascii="Arial" w:hAnsi="Arial" w:cs="Arial"/>
              </w:rPr>
            </w:pPr>
            <w:r w:rsidRPr="00200F48">
              <w:rPr>
                <w:rFonts w:ascii="Arial" w:hAnsi="Arial" w:cs="Arial"/>
              </w:rPr>
              <w:t>Kobiety</w:t>
            </w:r>
          </w:p>
        </w:tc>
        <w:tc>
          <w:tcPr>
            <w:tcW w:w="1477" w:type="dxa"/>
            <w:tcBorders>
              <w:top w:val="single" w:sz="6" w:space="0" w:color="auto"/>
              <w:left w:val="single" w:sz="6" w:space="0" w:color="auto"/>
              <w:bottom w:val="single" w:sz="6" w:space="0" w:color="auto"/>
              <w:right w:val="single" w:sz="6" w:space="0" w:color="auto"/>
            </w:tcBorders>
            <w:shd w:val="clear" w:color="auto" w:fill="CCC0D9"/>
            <w:vAlign w:val="center"/>
          </w:tcPr>
          <w:p w14:paraId="57059F48" w14:textId="77777777" w:rsidR="00200F48" w:rsidRPr="00200F48" w:rsidRDefault="00200F48" w:rsidP="00200F48">
            <w:pPr>
              <w:spacing w:before="120" w:after="120" w:line="360" w:lineRule="auto"/>
              <w:rPr>
                <w:rFonts w:ascii="Arial" w:hAnsi="Arial" w:cs="Arial"/>
              </w:rPr>
            </w:pPr>
            <w:r w:rsidRPr="00200F48">
              <w:rPr>
                <w:rFonts w:ascii="Arial" w:hAnsi="Arial" w:cs="Arial"/>
              </w:rPr>
              <w:t>Mężczyzn</w:t>
            </w:r>
          </w:p>
        </w:tc>
        <w:tc>
          <w:tcPr>
            <w:tcW w:w="0" w:type="auto"/>
            <w:vMerge/>
            <w:tcBorders>
              <w:left w:val="single" w:sz="6" w:space="0" w:color="auto"/>
              <w:bottom w:val="single" w:sz="6" w:space="0" w:color="auto"/>
              <w:right w:val="single" w:sz="12" w:space="0" w:color="auto"/>
            </w:tcBorders>
            <w:shd w:val="clear" w:color="auto" w:fill="CCC0D9"/>
            <w:vAlign w:val="center"/>
          </w:tcPr>
          <w:p w14:paraId="0DBC7AEE" w14:textId="77777777" w:rsidR="00200F48" w:rsidRPr="00200F48" w:rsidRDefault="00200F48" w:rsidP="00200F48">
            <w:pPr>
              <w:spacing w:before="120" w:after="120" w:line="360" w:lineRule="auto"/>
              <w:rPr>
                <w:rFonts w:ascii="Arial" w:hAnsi="Arial" w:cs="Arial"/>
              </w:rPr>
            </w:pPr>
          </w:p>
        </w:tc>
      </w:tr>
      <w:tr w:rsidR="00200F48" w:rsidRPr="00200F48" w14:paraId="30F2F03C" w14:textId="77777777" w:rsidTr="00B81D3B">
        <w:trPr>
          <w:trHeight w:val="417"/>
        </w:trPr>
        <w:tc>
          <w:tcPr>
            <w:tcW w:w="5659" w:type="dxa"/>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1F36B502" w14:textId="77777777" w:rsidR="00200F48" w:rsidRPr="00200F48" w:rsidRDefault="00200F48" w:rsidP="00200F48">
            <w:pPr>
              <w:tabs>
                <w:tab w:val="left" w:pos="0"/>
                <w:tab w:val="left" w:pos="34"/>
              </w:tabs>
              <w:spacing w:before="120" w:after="120" w:line="360" w:lineRule="auto"/>
              <w:ind w:right="-129"/>
              <w:rPr>
                <w:rFonts w:ascii="Arial" w:hAnsi="Arial" w:cs="Arial"/>
              </w:rPr>
            </w:pPr>
            <w:r w:rsidRPr="00200F48">
              <w:rPr>
                <w:rFonts w:ascii="Arial" w:hAnsi="Arial" w:cs="Arial"/>
              </w:rPr>
              <w:t>Liczba opracowanych w ramach projektu zbiorów metodyk zarządzania określonymi kategoriami spraw</w:t>
            </w:r>
          </w:p>
        </w:tc>
        <w:tc>
          <w:tcPr>
            <w:tcW w:w="1746" w:type="dxa"/>
            <w:tcBorders>
              <w:top w:val="single" w:sz="6" w:space="0" w:color="auto"/>
              <w:left w:val="single" w:sz="6" w:space="0" w:color="auto"/>
              <w:bottom w:val="single" w:sz="6" w:space="0" w:color="auto"/>
              <w:right w:val="single" w:sz="6" w:space="0" w:color="auto"/>
            </w:tcBorders>
            <w:shd w:val="clear" w:color="auto" w:fill="FFFFFF"/>
            <w:vAlign w:val="center"/>
          </w:tcPr>
          <w:p w14:paraId="10CACC85" w14:textId="77777777" w:rsidR="00200F48" w:rsidRPr="00200F48" w:rsidRDefault="00200F48" w:rsidP="00200F48">
            <w:pPr>
              <w:spacing w:before="120" w:after="120" w:line="360" w:lineRule="auto"/>
              <w:rPr>
                <w:rFonts w:ascii="Arial" w:hAnsi="Arial" w:cs="Arial"/>
              </w:rPr>
            </w:pP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14:paraId="4F14C609" w14:textId="77777777" w:rsidR="00200F48" w:rsidRPr="00200F48" w:rsidRDefault="00200F48" w:rsidP="00200F48">
            <w:pPr>
              <w:spacing w:before="120" w:after="120" w:line="360" w:lineRule="auto"/>
              <w:rPr>
                <w:rFonts w:ascii="Arial" w:hAnsi="Arial" w:cs="Arial"/>
              </w:rPr>
            </w:pPr>
          </w:p>
        </w:tc>
        <w:tc>
          <w:tcPr>
            <w:tcW w:w="0" w:type="auto"/>
            <w:tcBorders>
              <w:top w:val="single" w:sz="6" w:space="0" w:color="auto"/>
              <w:left w:val="single" w:sz="6" w:space="0" w:color="auto"/>
              <w:bottom w:val="single" w:sz="6" w:space="0" w:color="auto"/>
              <w:right w:val="single" w:sz="12" w:space="0" w:color="auto"/>
            </w:tcBorders>
            <w:shd w:val="clear" w:color="auto" w:fill="FFFFFF"/>
            <w:vAlign w:val="center"/>
          </w:tcPr>
          <w:p w14:paraId="6AFE1831" w14:textId="77777777" w:rsidR="00200F48" w:rsidRPr="00200F48" w:rsidRDefault="00200F48" w:rsidP="00200F48">
            <w:pPr>
              <w:spacing w:before="120" w:after="120" w:line="360" w:lineRule="auto"/>
              <w:rPr>
                <w:rFonts w:ascii="Arial" w:hAnsi="Arial" w:cs="Arial"/>
              </w:rPr>
            </w:pPr>
            <w:r w:rsidRPr="00200F48">
              <w:rPr>
                <w:rFonts w:ascii="Arial" w:hAnsi="Arial" w:cs="Arial"/>
              </w:rPr>
              <w:t>1</w:t>
            </w:r>
          </w:p>
        </w:tc>
      </w:tr>
      <w:tr w:rsidR="00200F48" w:rsidRPr="00200F48" w14:paraId="499F5CC0" w14:textId="77777777" w:rsidTr="00B81D3B">
        <w:trPr>
          <w:trHeight w:val="495"/>
        </w:trPr>
        <w:tc>
          <w:tcPr>
            <w:tcW w:w="5659" w:type="dxa"/>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72F6FEF1" w14:textId="77777777" w:rsidR="00200F48" w:rsidRPr="00200F48" w:rsidRDefault="00200F48" w:rsidP="00200F48">
            <w:pPr>
              <w:tabs>
                <w:tab w:val="left" w:pos="0"/>
                <w:tab w:val="left" w:pos="34"/>
              </w:tabs>
              <w:spacing w:before="120" w:after="120" w:line="360" w:lineRule="auto"/>
              <w:ind w:right="-103"/>
              <w:rPr>
                <w:rFonts w:ascii="Arial" w:hAnsi="Arial" w:cs="Arial"/>
              </w:rPr>
            </w:pPr>
            <w:r w:rsidRPr="00200F48">
              <w:rPr>
                <w:rFonts w:ascii="Arial" w:hAnsi="Arial" w:cs="Arial"/>
              </w:rPr>
              <w:t xml:space="preserve">Liczba pracowników wymiaru sprawiedliwości objętych </w:t>
            </w:r>
            <w:proofErr w:type="gramStart"/>
            <w:r w:rsidRPr="00200F48">
              <w:rPr>
                <w:rFonts w:ascii="Arial" w:hAnsi="Arial" w:cs="Arial"/>
              </w:rPr>
              <w:t>wsparciem  w</w:t>
            </w:r>
            <w:proofErr w:type="gramEnd"/>
            <w:r w:rsidRPr="00200F48">
              <w:rPr>
                <w:rFonts w:ascii="Arial" w:hAnsi="Arial" w:cs="Arial"/>
              </w:rPr>
              <w:t xml:space="preserve"> zakresie zarządzania i  komunikacji</w:t>
            </w:r>
          </w:p>
        </w:tc>
        <w:tc>
          <w:tcPr>
            <w:tcW w:w="1746" w:type="dxa"/>
            <w:tcBorders>
              <w:top w:val="single" w:sz="6" w:space="0" w:color="auto"/>
              <w:left w:val="single" w:sz="6" w:space="0" w:color="auto"/>
              <w:bottom w:val="single" w:sz="6" w:space="0" w:color="auto"/>
              <w:right w:val="single" w:sz="6" w:space="0" w:color="auto"/>
            </w:tcBorders>
            <w:shd w:val="clear" w:color="auto" w:fill="FFFFFF"/>
            <w:vAlign w:val="center"/>
          </w:tcPr>
          <w:p w14:paraId="089F58E4" w14:textId="77777777" w:rsidR="00200F48" w:rsidRPr="00200F48" w:rsidRDefault="00200F48" w:rsidP="00200F48">
            <w:pPr>
              <w:spacing w:before="120" w:after="120" w:line="360" w:lineRule="auto"/>
              <w:rPr>
                <w:rFonts w:ascii="Arial" w:hAnsi="Arial" w:cs="Arial"/>
              </w:rPr>
            </w:pP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14:paraId="6421E7AF" w14:textId="77777777" w:rsidR="00200F48" w:rsidRPr="00200F48" w:rsidRDefault="00200F48" w:rsidP="00200F48">
            <w:pPr>
              <w:spacing w:before="120" w:after="120" w:line="360" w:lineRule="auto"/>
              <w:rPr>
                <w:rFonts w:ascii="Arial" w:hAnsi="Arial" w:cs="Arial"/>
              </w:rPr>
            </w:pPr>
          </w:p>
        </w:tc>
        <w:tc>
          <w:tcPr>
            <w:tcW w:w="0" w:type="auto"/>
            <w:tcBorders>
              <w:top w:val="single" w:sz="6" w:space="0" w:color="auto"/>
              <w:left w:val="single" w:sz="6" w:space="0" w:color="auto"/>
              <w:bottom w:val="single" w:sz="6" w:space="0" w:color="auto"/>
              <w:right w:val="single" w:sz="12" w:space="0" w:color="auto"/>
            </w:tcBorders>
            <w:shd w:val="clear" w:color="auto" w:fill="FFFFFF"/>
            <w:vAlign w:val="center"/>
          </w:tcPr>
          <w:p w14:paraId="03C22202" w14:textId="77777777" w:rsidR="00200F48" w:rsidRPr="00200F48" w:rsidRDefault="00200F48" w:rsidP="00200F48">
            <w:pPr>
              <w:spacing w:before="120" w:after="120" w:line="360" w:lineRule="auto"/>
              <w:rPr>
                <w:rFonts w:ascii="Arial" w:hAnsi="Arial" w:cs="Arial"/>
              </w:rPr>
            </w:pPr>
            <w:r w:rsidRPr="00200F48">
              <w:rPr>
                <w:rFonts w:ascii="Arial" w:hAnsi="Arial" w:cs="Arial"/>
              </w:rPr>
              <w:t>10.000</w:t>
            </w:r>
          </w:p>
        </w:tc>
      </w:tr>
      <w:tr w:rsidR="00200F48" w:rsidRPr="00200F48" w14:paraId="3FB0D3FC" w14:textId="77777777" w:rsidTr="00B81D3B">
        <w:trPr>
          <w:trHeight w:val="567"/>
        </w:trPr>
        <w:tc>
          <w:tcPr>
            <w:tcW w:w="9999" w:type="dxa"/>
            <w:gridSpan w:val="6"/>
            <w:tcBorders>
              <w:top w:val="single" w:sz="12" w:space="0" w:color="auto"/>
              <w:bottom w:val="single" w:sz="12" w:space="0" w:color="auto"/>
            </w:tcBorders>
            <w:shd w:val="clear" w:color="auto" w:fill="CCC0D9"/>
            <w:vAlign w:val="center"/>
          </w:tcPr>
          <w:p w14:paraId="01B60A2B" w14:textId="77777777" w:rsidR="00200F48" w:rsidRPr="00200F48" w:rsidRDefault="00200F48" w:rsidP="00200F48">
            <w:pPr>
              <w:spacing w:before="120" w:after="120" w:line="360" w:lineRule="auto"/>
              <w:ind w:left="57"/>
              <w:rPr>
                <w:rFonts w:ascii="Arial" w:hAnsi="Arial" w:cs="Arial"/>
                <w:b/>
              </w:rPr>
            </w:pPr>
            <w:r w:rsidRPr="00200F48">
              <w:rPr>
                <w:rFonts w:ascii="Arial" w:hAnsi="Arial" w:cs="Arial"/>
                <w:b/>
              </w:rPr>
              <w:t>SZCZEGÓŁOWE KRYTERIA WYBORU PROJEKTU</w:t>
            </w:r>
          </w:p>
        </w:tc>
      </w:tr>
      <w:tr w:rsidR="00200F48" w:rsidRPr="00200F48" w14:paraId="7A9490B2" w14:textId="77777777" w:rsidTr="00B81D3B">
        <w:trPr>
          <w:trHeight w:val="567"/>
        </w:trPr>
        <w:tc>
          <w:tcPr>
            <w:tcW w:w="9999" w:type="dxa"/>
            <w:gridSpan w:val="6"/>
            <w:tcBorders>
              <w:top w:val="single" w:sz="12" w:space="0" w:color="auto"/>
              <w:bottom w:val="single" w:sz="12" w:space="0" w:color="auto"/>
            </w:tcBorders>
            <w:shd w:val="clear" w:color="auto" w:fill="CCC0D9"/>
            <w:vAlign w:val="center"/>
          </w:tcPr>
          <w:p w14:paraId="7DC14582" w14:textId="77777777" w:rsidR="00200F48" w:rsidRPr="00200F48" w:rsidRDefault="00200F48" w:rsidP="00200F48">
            <w:pPr>
              <w:spacing w:before="120" w:after="120" w:line="360" w:lineRule="auto"/>
              <w:ind w:left="57"/>
              <w:rPr>
                <w:rFonts w:ascii="Arial" w:hAnsi="Arial" w:cs="Arial"/>
                <w:b/>
              </w:rPr>
            </w:pPr>
            <w:r w:rsidRPr="00200F48">
              <w:rPr>
                <w:rFonts w:ascii="Arial" w:hAnsi="Arial" w:cs="Arial"/>
                <w:b/>
              </w:rPr>
              <w:t>KRYTERIA DOSTĘPU</w:t>
            </w:r>
          </w:p>
        </w:tc>
      </w:tr>
      <w:tr w:rsidR="00200F48" w:rsidRPr="00200F48" w14:paraId="39E39916" w14:textId="77777777" w:rsidTr="00B81D3B">
        <w:trPr>
          <w:trHeight w:val="412"/>
        </w:trPr>
        <w:tc>
          <w:tcPr>
            <w:tcW w:w="9999" w:type="dxa"/>
            <w:gridSpan w:val="6"/>
            <w:tcBorders>
              <w:top w:val="single" w:sz="12" w:space="0" w:color="auto"/>
              <w:bottom w:val="single" w:sz="2" w:space="0" w:color="auto"/>
            </w:tcBorders>
            <w:shd w:val="clear" w:color="auto" w:fill="FFFFFF"/>
            <w:vAlign w:val="center"/>
          </w:tcPr>
          <w:p w14:paraId="30800243" w14:textId="77777777" w:rsidR="00200F48" w:rsidRPr="00200F48" w:rsidRDefault="00200F48" w:rsidP="00200F48">
            <w:pPr>
              <w:numPr>
                <w:ilvl w:val="0"/>
                <w:numId w:val="22"/>
              </w:numPr>
              <w:spacing w:before="120" w:after="120" w:line="360" w:lineRule="auto"/>
              <w:rPr>
                <w:rFonts w:ascii="Arial" w:hAnsi="Arial" w:cs="Arial"/>
                <w:b/>
              </w:rPr>
            </w:pPr>
            <w:r w:rsidRPr="00200F48">
              <w:rPr>
                <w:rFonts w:ascii="Arial" w:hAnsi="Arial" w:cs="Arial"/>
                <w:b/>
              </w:rPr>
              <w:t>Nie dotyczy</w:t>
            </w:r>
          </w:p>
        </w:tc>
      </w:tr>
      <w:tr w:rsidR="00200F48" w:rsidRPr="00200F48" w14:paraId="72D7F4C8" w14:textId="77777777" w:rsidTr="00B81D3B">
        <w:trPr>
          <w:trHeight w:val="567"/>
        </w:trPr>
        <w:tc>
          <w:tcPr>
            <w:tcW w:w="1843" w:type="dxa"/>
            <w:tcBorders>
              <w:top w:val="single" w:sz="6" w:space="0" w:color="auto"/>
              <w:bottom w:val="single" w:sz="2" w:space="0" w:color="auto"/>
            </w:tcBorders>
            <w:shd w:val="clear" w:color="auto" w:fill="CCC0D9"/>
            <w:vAlign w:val="center"/>
          </w:tcPr>
          <w:p w14:paraId="6B74A52D" w14:textId="77777777" w:rsidR="00200F48" w:rsidRPr="00200F48" w:rsidRDefault="00200F48" w:rsidP="00200F48">
            <w:pPr>
              <w:spacing w:before="120" w:after="120" w:line="360" w:lineRule="auto"/>
              <w:ind w:left="57"/>
              <w:rPr>
                <w:rFonts w:ascii="Arial" w:hAnsi="Arial" w:cs="Arial"/>
                <w:b/>
              </w:rPr>
            </w:pPr>
            <w:r w:rsidRPr="00200F48">
              <w:rPr>
                <w:rFonts w:ascii="Arial" w:hAnsi="Arial" w:cs="Arial"/>
              </w:rPr>
              <w:t>Uzasadnienie:</w:t>
            </w:r>
          </w:p>
        </w:tc>
        <w:tc>
          <w:tcPr>
            <w:tcW w:w="0" w:type="auto"/>
            <w:gridSpan w:val="5"/>
            <w:tcBorders>
              <w:top w:val="single" w:sz="6" w:space="0" w:color="auto"/>
              <w:bottom w:val="single" w:sz="2" w:space="0" w:color="auto"/>
            </w:tcBorders>
            <w:shd w:val="clear" w:color="auto" w:fill="FFFFFF"/>
            <w:vAlign w:val="center"/>
          </w:tcPr>
          <w:p w14:paraId="74F1946C" w14:textId="77777777" w:rsidR="00200F48" w:rsidRPr="00200F48" w:rsidRDefault="00200F48" w:rsidP="00200F48">
            <w:pPr>
              <w:spacing w:before="120" w:after="120" w:line="360" w:lineRule="auto"/>
              <w:ind w:left="57"/>
              <w:rPr>
                <w:rFonts w:ascii="Arial" w:hAnsi="Arial" w:cs="Arial"/>
                <w:b/>
              </w:rPr>
            </w:pPr>
          </w:p>
        </w:tc>
      </w:tr>
    </w:tbl>
    <w:p w14:paraId="61D69F1B" w14:textId="77777777" w:rsidR="000E189A" w:rsidRPr="00F75263" w:rsidRDefault="000E189A" w:rsidP="00D67239">
      <w:pPr>
        <w:spacing w:before="120" w:after="120" w:line="240" w:lineRule="atLeast"/>
        <w:rPr>
          <w:rFonts w:ascii="Arial" w:hAnsi="Arial" w:cs="Arial"/>
          <w:sz w:val="24"/>
          <w:szCs w:val="24"/>
        </w:rPr>
      </w:pPr>
      <w:bookmarkStart w:id="20" w:name="ezdPracownikAtrybut1"/>
      <w:bookmarkStart w:id="21" w:name="ezdPracownikNazwa"/>
      <w:bookmarkStart w:id="22" w:name="ezdPracownikAtrybut2"/>
      <w:bookmarkStart w:id="23" w:name="ezdDataPodpisu_2"/>
      <w:bookmarkEnd w:id="20"/>
      <w:bookmarkEnd w:id="21"/>
      <w:bookmarkEnd w:id="22"/>
      <w:bookmarkEnd w:id="23"/>
    </w:p>
    <w:sectPr w:rsidR="000E189A" w:rsidRPr="00F75263" w:rsidSect="00FF48DE">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FE46C" w14:textId="77777777" w:rsidR="00CA697C" w:rsidRDefault="00CA697C" w:rsidP="003D5936">
      <w:pPr>
        <w:spacing w:after="0" w:line="240" w:lineRule="auto"/>
      </w:pPr>
      <w:r>
        <w:separator/>
      </w:r>
    </w:p>
  </w:endnote>
  <w:endnote w:type="continuationSeparator" w:id="0">
    <w:p w14:paraId="29634B93" w14:textId="77777777" w:rsidR="00CA697C" w:rsidRDefault="00CA697C" w:rsidP="003D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C4700" w14:textId="77777777" w:rsidR="0063410A" w:rsidRPr="0058301A" w:rsidRDefault="0063410A" w:rsidP="0058301A">
    <w:pPr>
      <w:pStyle w:val="Stopka"/>
      <w:spacing w:before="120" w:after="120" w:line="240" w:lineRule="atLeast"/>
      <w:jc w:val="right"/>
      <w:rPr>
        <w:rFonts w:ascii="Arial" w:hAnsi="Arial" w:cs="Arial"/>
      </w:rPr>
    </w:pPr>
    <w:r w:rsidRPr="00D67239">
      <w:rPr>
        <w:rFonts w:ascii="Arial" w:hAnsi="Arial" w:cs="Arial"/>
      </w:rPr>
      <w:t xml:space="preserve">Strona </w:t>
    </w:r>
    <w:r w:rsidRPr="00D67239">
      <w:rPr>
        <w:rFonts w:ascii="Arial" w:hAnsi="Arial" w:cs="Arial"/>
        <w:b/>
        <w:bCs/>
      </w:rPr>
      <w:fldChar w:fldCharType="begin"/>
    </w:r>
    <w:r w:rsidRPr="00D67239">
      <w:rPr>
        <w:rFonts w:ascii="Arial" w:hAnsi="Arial" w:cs="Arial"/>
        <w:b/>
        <w:bCs/>
      </w:rPr>
      <w:instrText>PAGE</w:instrText>
    </w:r>
    <w:r w:rsidRPr="00D67239">
      <w:rPr>
        <w:rFonts w:ascii="Arial" w:hAnsi="Arial" w:cs="Arial"/>
        <w:b/>
        <w:bCs/>
      </w:rPr>
      <w:fldChar w:fldCharType="separate"/>
    </w:r>
    <w:r w:rsidR="00555BDF">
      <w:rPr>
        <w:rFonts w:ascii="Arial" w:hAnsi="Arial" w:cs="Arial"/>
        <w:b/>
        <w:bCs/>
        <w:noProof/>
      </w:rPr>
      <w:t>75</w:t>
    </w:r>
    <w:r w:rsidRPr="00D67239">
      <w:rPr>
        <w:rFonts w:ascii="Arial" w:hAnsi="Arial" w:cs="Arial"/>
        <w:b/>
        <w:bCs/>
      </w:rPr>
      <w:fldChar w:fldCharType="end"/>
    </w:r>
    <w:r w:rsidRPr="00D67239">
      <w:rPr>
        <w:rFonts w:ascii="Arial" w:hAnsi="Arial" w:cs="Arial"/>
      </w:rPr>
      <w:t xml:space="preserve"> z </w:t>
    </w:r>
    <w:r w:rsidRPr="00D67239">
      <w:rPr>
        <w:rFonts w:ascii="Arial" w:hAnsi="Arial" w:cs="Arial"/>
        <w:b/>
        <w:bCs/>
      </w:rPr>
      <w:fldChar w:fldCharType="begin"/>
    </w:r>
    <w:r w:rsidRPr="00D67239">
      <w:rPr>
        <w:rFonts w:ascii="Arial" w:hAnsi="Arial" w:cs="Arial"/>
        <w:b/>
        <w:bCs/>
      </w:rPr>
      <w:instrText>NUMPAGES</w:instrText>
    </w:r>
    <w:r w:rsidRPr="00D67239">
      <w:rPr>
        <w:rFonts w:ascii="Arial" w:hAnsi="Arial" w:cs="Arial"/>
        <w:b/>
        <w:bCs/>
      </w:rPr>
      <w:fldChar w:fldCharType="separate"/>
    </w:r>
    <w:r w:rsidR="00555BDF">
      <w:rPr>
        <w:rFonts w:ascii="Arial" w:hAnsi="Arial" w:cs="Arial"/>
        <w:b/>
        <w:bCs/>
        <w:noProof/>
      </w:rPr>
      <w:t>75</w:t>
    </w:r>
    <w:r w:rsidRPr="00D67239">
      <w:rPr>
        <w:rFonts w:ascii="Arial" w:hAnsi="Arial" w:cs="Arial"/>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9469B" w14:textId="77777777" w:rsidR="0063410A" w:rsidRPr="00D67239" w:rsidRDefault="0063410A" w:rsidP="00D67239">
    <w:pPr>
      <w:pStyle w:val="Stopka"/>
      <w:spacing w:before="120" w:after="120" w:line="240" w:lineRule="atLeast"/>
      <w:jc w:val="right"/>
      <w:rPr>
        <w:rFonts w:ascii="Arial" w:hAnsi="Arial" w:cs="Arial"/>
      </w:rPr>
    </w:pPr>
    <w:r w:rsidRPr="00D67239">
      <w:rPr>
        <w:rFonts w:ascii="Arial" w:hAnsi="Arial" w:cs="Arial"/>
      </w:rPr>
      <w:t xml:space="preserve">Strona </w:t>
    </w:r>
    <w:r w:rsidRPr="00D67239">
      <w:rPr>
        <w:rFonts w:ascii="Arial" w:hAnsi="Arial" w:cs="Arial"/>
        <w:b/>
        <w:bCs/>
      </w:rPr>
      <w:fldChar w:fldCharType="begin"/>
    </w:r>
    <w:r w:rsidRPr="00D67239">
      <w:rPr>
        <w:rFonts w:ascii="Arial" w:hAnsi="Arial" w:cs="Arial"/>
        <w:b/>
        <w:bCs/>
      </w:rPr>
      <w:instrText>PAGE</w:instrText>
    </w:r>
    <w:r w:rsidRPr="00D67239">
      <w:rPr>
        <w:rFonts w:ascii="Arial" w:hAnsi="Arial" w:cs="Arial"/>
        <w:b/>
        <w:bCs/>
      </w:rPr>
      <w:fldChar w:fldCharType="separate"/>
    </w:r>
    <w:r w:rsidR="00555BDF">
      <w:rPr>
        <w:rFonts w:ascii="Arial" w:hAnsi="Arial" w:cs="Arial"/>
        <w:b/>
        <w:bCs/>
        <w:noProof/>
      </w:rPr>
      <w:t>1</w:t>
    </w:r>
    <w:r w:rsidRPr="00D67239">
      <w:rPr>
        <w:rFonts w:ascii="Arial" w:hAnsi="Arial" w:cs="Arial"/>
        <w:b/>
        <w:bCs/>
      </w:rPr>
      <w:fldChar w:fldCharType="end"/>
    </w:r>
    <w:r w:rsidRPr="00D67239">
      <w:rPr>
        <w:rFonts w:ascii="Arial" w:hAnsi="Arial" w:cs="Arial"/>
      </w:rPr>
      <w:t xml:space="preserve"> z </w:t>
    </w:r>
    <w:r w:rsidRPr="00D67239">
      <w:rPr>
        <w:rFonts w:ascii="Arial" w:hAnsi="Arial" w:cs="Arial"/>
        <w:b/>
        <w:bCs/>
      </w:rPr>
      <w:fldChar w:fldCharType="begin"/>
    </w:r>
    <w:r w:rsidRPr="00D67239">
      <w:rPr>
        <w:rFonts w:ascii="Arial" w:hAnsi="Arial" w:cs="Arial"/>
        <w:b/>
        <w:bCs/>
      </w:rPr>
      <w:instrText>NUMPAGES</w:instrText>
    </w:r>
    <w:r w:rsidRPr="00D67239">
      <w:rPr>
        <w:rFonts w:ascii="Arial" w:hAnsi="Arial" w:cs="Arial"/>
        <w:b/>
        <w:bCs/>
      </w:rPr>
      <w:fldChar w:fldCharType="separate"/>
    </w:r>
    <w:r w:rsidR="00555BDF">
      <w:rPr>
        <w:rFonts w:ascii="Arial" w:hAnsi="Arial" w:cs="Arial"/>
        <w:b/>
        <w:bCs/>
        <w:noProof/>
      </w:rPr>
      <w:t>75</w:t>
    </w:r>
    <w:r w:rsidRPr="00D67239">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49616" w14:textId="77777777" w:rsidR="00CA697C" w:rsidRDefault="00CA697C" w:rsidP="003D5936">
      <w:pPr>
        <w:spacing w:after="0" w:line="240" w:lineRule="auto"/>
      </w:pPr>
      <w:r>
        <w:separator/>
      </w:r>
    </w:p>
  </w:footnote>
  <w:footnote w:type="continuationSeparator" w:id="0">
    <w:p w14:paraId="255DD2C7" w14:textId="77777777" w:rsidR="00CA697C" w:rsidRDefault="00CA697C" w:rsidP="003D5936">
      <w:pPr>
        <w:spacing w:after="0" w:line="240" w:lineRule="auto"/>
      </w:pPr>
      <w:r>
        <w:continuationSeparator/>
      </w:r>
    </w:p>
  </w:footnote>
  <w:footnote w:id="1">
    <w:p w14:paraId="244A9B2C" w14:textId="77777777" w:rsidR="0063410A" w:rsidRPr="00E25443" w:rsidRDefault="0063410A" w:rsidP="00B75F78">
      <w:pPr>
        <w:pStyle w:val="Tekstprzypisudolnego"/>
        <w:jc w:val="both"/>
        <w:rPr>
          <w:rFonts w:ascii="Arial" w:hAnsi="Arial" w:cs="Arial"/>
          <w:sz w:val="16"/>
          <w:szCs w:val="16"/>
        </w:rPr>
      </w:pPr>
      <w:r w:rsidRPr="00E25443">
        <w:rPr>
          <w:rStyle w:val="Odwoanieprzypisudolnego"/>
          <w:rFonts w:ascii="Arial" w:hAnsi="Arial" w:cs="Arial"/>
          <w:sz w:val="16"/>
          <w:szCs w:val="16"/>
        </w:rPr>
        <w:footnoteRef/>
      </w:r>
      <w:r w:rsidRPr="00E25443">
        <w:rPr>
          <w:rFonts w:ascii="Arial" w:hAnsi="Arial" w:cs="Arial"/>
          <w:sz w:val="16"/>
          <w:szCs w:val="16"/>
        </w:rPr>
        <w:t xml:space="preserve"> Należy wskazać roboczą nazwę projektu albo skrótowo opisać istotę, zakres przedmiotowy projektu.</w:t>
      </w:r>
    </w:p>
  </w:footnote>
  <w:footnote w:id="2">
    <w:p w14:paraId="5D2FB85B" w14:textId="77777777" w:rsidR="0063410A" w:rsidRPr="001A3770" w:rsidRDefault="0063410A" w:rsidP="00B75F78">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sidRPr="001A3770">
        <w:rPr>
          <w:rFonts w:ascii="Arial" w:hAnsi="Arial" w:cs="Arial"/>
          <w:sz w:val="16"/>
          <w:szCs w:val="16"/>
        </w:rPr>
        <w:t xml:space="preserve"> Zgodnie z podrozdziałem 5.2.1 </w:t>
      </w:r>
      <w:r w:rsidRPr="001A3770">
        <w:rPr>
          <w:rFonts w:ascii="Arial" w:hAnsi="Arial" w:cs="Arial"/>
          <w:i/>
          <w:sz w:val="16"/>
          <w:szCs w:val="16"/>
        </w:rPr>
        <w:t>Polityka spójności</w:t>
      </w:r>
      <w:r w:rsidRPr="001A3770">
        <w:rPr>
          <w:rFonts w:ascii="Arial" w:hAnsi="Arial" w:cs="Arial"/>
          <w:sz w:val="16"/>
          <w:szCs w:val="16"/>
        </w:rPr>
        <w:t xml:space="preserve"> rozdziału 5.2 </w:t>
      </w:r>
      <w:r w:rsidRPr="001A3770">
        <w:rPr>
          <w:rFonts w:ascii="Arial" w:hAnsi="Arial" w:cs="Arial"/>
          <w:i/>
          <w:sz w:val="16"/>
          <w:szCs w:val="16"/>
        </w:rPr>
        <w:t>Zasady wyboru projektów</w:t>
      </w:r>
      <w:r w:rsidRPr="001A3770" w:rsidDel="00AC6652">
        <w:rPr>
          <w:rFonts w:ascii="Arial" w:hAnsi="Arial" w:cs="Arial"/>
          <w:sz w:val="16"/>
          <w:szCs w:val="16"/>
        </w:rPr>
        <w:t xml:space="preserve"> </w:t>
      </w:r>
      <w:r w:rsidRPr="001A3770">
        <w:rPr>
          <w:rFonts w:ascii="Arial" w:hAnsi="Arial" w:cs="Arial"/>
          <w:sz w:val="16"/>
          <w:szCs w:val="16"/>
        </w:rPr>
        <w:t>Umowy Partnerstwa przedsięwzięcia o długim horyzoncie czasowym realizacji muszą być dzielone na krótkie etapy, których realizacja będzie uzależniona od osiągnięcia rezultatów założonych na wcześniejszym etapie (kamieni milowych).</w:t>
      </w:r>
    </w:p>
  </w:footnote>
  <w:footnote w:id="3">
    <w:p w14:paraId="0AC05EF1" w14:textId="77777777" w:rsidR="0063410A" w:rsidRPr="001A3770" w:rsidRDefault="0063410A" w:rsidP="00B75F78">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sidRPr="001A3770">
        <w:rPr>
          <w:rFonts w:ascii="Arial" w:hAnsi="Arial" w:cs="Arial"/>
          <w:sz w:val="16"/>
          <w:szCs w:val="16"/>
        </w:rPr>
        <w:t xml:space="preserve"> W przypadku opracowywania Rocznego Planu Działania przez IP, podmiotem zgłaszającym projekt jest IP. W przypadku opracowywania Rocznego Planu Działania przez IZ należy wpisać nazwę podmiotu, który zgłosił projekt do IZ. </w:t>
      </w:r>
    </w:p>
  </w:footnote>
  <w:footnote w:id="4">
    <w:p w14:paraId="1106FBE6" w14:textId="77777777" w:rsidR="0063410A" w:rsidRPr="004C7755" w:rsidRDefault="0063410A" w:rsidP="00B75F78">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sidRPr="001A3770">
        <w:rPr>
          <w:rFonts w:ascii="Arial" w:hAnsi="Arial" w:cs="Arial"/>
          <w:sz w:val="16"/>
          <w:szCs w:val="16"/>
        </w:rPr>
        <w:t xml:space="preserve"> W szczególności w świetle art. 38 ust. 2 i 3 ustawy z dnia 11 lipca 2014 r. </w:t>
      </w:r>
      <w:r w:rsidRPr="001A3770">
        <w:rPr>
          <w:rFonts w:ascii="Arial" w:hAnsi="Arial" w:cs="Arial"/>
          <w:i/>
          <w:sz w:val="16"/>
          <w:szCs w:val="16"/>
        </w:rPr>
        <w:t>o zasadach realizacji programów w zakresie polityki spójności finansowanych w perspektywie finansowej 2014–2020</w:t>
      </w:r>
      <w:r w:rsidRPr="001A3770">
        <w:rPr>
          <w:rFonts w:ascii="Arial" w:hAnsi="Arial" w:cs="Arial"/>
          <w:sz w:val="16"/>
          <w:szCs w:val="16"/>
        </w:rPr>
        <w:t xml:space="preserve"> </w:t>
      </w:r>
      <w:r w:rsidRPr="00C2188C">
        <w:rPr>
          <w:rFonts w:ascii="Arial" w:hAnsi="Arial" w:cs="Arial"/>
          <w:sz w:val="16"/>
          <w:szCs w:val="16"/>
        </w:rPr>
        <w:t xml:space="preserve">(Dz.U. </w:t>
      </w:r>
      <w:proofErr w:type="gramStart"/>
      <w:r w:rsidRPr="00C2188C">
        <w:rPr>
          <w:rFonts w:ascii="Arial" w:hAnsi="Arial" w:cs="Arial"/>
          <w:sz w:val="16"/>
          <w:szCs w:val="16"/>
        </w:rPr>
        <w:t>z</w:t>
      </w:r>
      <w:proofErr w:type="gramEnd"/>
      <w:r w:rsidRPr="00C2188C">
        <w:rPr>
          <w:rFonts w:ascii="Arial" w:hAnsi="Arial" w:cs="Arial"/>
          <w:sz w:val="16"/>
          <w:szCs w:val="16"/>
        </w:rPr>
        <w:t xml:space="preserve"> 201</w:t>
      </w:r>
      <w:r>
        <w:rPr>
          <w:rFonts w:ascii="Arial" w:hAnsi="Arial" w:cs="Arial"/>
          <w:sz w:val="16"/>
          <w:szCs w:val="16"/>
        </w:rPr>
        <w:t>8</w:t>
      </w:r>
      <w:r w:rsidRPr="00C2188C">
        <w:rPr>
          <w:rFonts w:ascii="Arial" w:hAnsi="Arial" w:cs="Arial"/>
          <w:sz w:val="16"/>
          <w:szCs w:val="16"/>
        </w:rPr>
        <w:t xml:space="preserve"> r. poz. </w:t>
      </w:r>
      <w:r>
        <w:rPr>
          <w:rFonts w:ascii="Arial" w:hAnsi="Arial" w:cs="Arial"/>
          <w:sz w:val="16"/>
          <w:szCs w:val="16"/>
        </w:rPr>
        <w:t>1431,</w:t>
      </w:r>
      <w:r w:rsidRPr="00C2188C">
        <w:rPr>
          <w:rFonts w:ascii="Arial" w:hAnsi="Arial" w:cs="Arial"/>
          <w:sz w:val="16"/>
          <w:szCs w:val="16"/>
        </w:rPr>
        <w:t xml:space="preserve"> z późn. </w:t>
      </w:r>
      <w:proofErr w:type="gramStart"/>
      <w:r w:rsidRPr="00C2188C">
        <w:rPr>
          <w:rFonts w:ascii="Arial" w:hAnsi="Arial" w:cs="Arial"/>
          <w:sz w:val="16"/>
          <w:szCs w:val="16"/>
        </w:rPr>
        <w:t>zm</w:t>
      </w:r>
      <w:proofErr w:type="gramEnd"/>
      <w:r w:rsidRPr="00C2188C">
        <w:rPr>
          <w:rFonts w:ascii="Arial" w:hAnsi="Arial" w:cs="Arial"/>
          <w:sz w:val="16"/>
          <w:szCs w:val="16"/>
        </w:rPr>
        <w:t xml:space="preserve">.) </w:t>
      </w:r>
      <w:r w:rsidRPr="001A3770">
        <w:rPr>
          <w:rFonts w:ascii="Arial" w:hAnsi="Arial" w:cs="Arial"/>
          <w:sz w:val="16"/>
          <w:szCs w:val="16"/>
        </w:rPr>
        <w:t xml:space="preserve">oraz podrozdziału 5.2.1 </w:t>
      </w:r>
      <w:r w:rsidRPr="001A3770">
        <w:rPr>
          <w:rFonts w:ascii="Arial" w:hAnsi="Arial" w:cs="Arial"/>
          <w:i/>
          <w:sz w:val="16"/>
          <w:szCs w:val="16"/>
        </w:rPr>
        <w:t>Polityka spójności</w:t>
      </w:r>
      <w:r w:rsidRPr="001A3770">
        <w:rPr>
          <w:rFonts w:ascii="Arial" w:hAnsi="Arial" w:cs="Arial"/>
          <w:sz w:val="16"/>
          <w:szCs w:val="16"/>
        </w:rPr>
        <w:t xml:space="preserve">, rozdziału 5.2 </w:t>
      </w:r>
      <w:r w:rsidRPr="001A3770">
        <w:rPr>
          <w:rFonts w:ascii="Arial" w:hAnsi="Arial" w:cs="Arial"/>
          <w:i/>
          <w:sz w:val="16"/>
          <w:szCs w:val="16"/>
        </w:rPr>
        <w:t>Zasady wyboru projektów</w:t>
      </w:r>
      <w:r w:rsidRPr="001A3770" w:rsidDel="00AC6652">
        <w:rPr>
          <w:rFonts w:ascii="Arial" w:hAnsi="Arial" w:cs="Arial"/>
          <w:sz w:val="16"/>
          <w:szCs w:val="16"/>
        </w:rPr>
        <w:t xml:space="preserve"> </w:t>
      </w:r>
      <w:r w:rsidRPr="001A3770">
        <w:rPr>
          <w:rFonts w:ascii="Arial" w:hAnsi="Arial" w:cs="Arial"/>
          <w:sz w:val="16"/>
          <w:szCs w:val="16"/>
        </w:rPr>
        <w:t>Umowy Partnerstwa</w:t>
      </w:r>
      <w:r>
        <w:rPr>
          <w:rFonts w:ascii="Arial" w:hAnsi="Arial" w:cs="Arial"/>
          <w:sz w:val="16"/>
          <w:szCs w:val="16"/>
        </w:rPr>
        <w:t>.</w:t>
      </w:r>
      <w:r w:rsidRPr="001A3770">
        <w:rPr>
          <w:rFonts w:ascii="Arial" w:hAnsi="Arial" w:cs="Arial"/>
          <w:sz w:val="16"/>
          <w:szCs w:val="16"/>
        </w:rPr>
        <w:t xml:space="preserve"> </w:t>
      </w:r>
    </w:p>
  </w:footnote>
  <w:footnote w:id="5">
    <w:p w14:paraId="53FA70CF" w14:textId="77777777" w:rsidR="0063410A" w:rsidRDefault="0063410A" w:rsidP="00B75F78">
      <w:pPr>
        <w:pStyle w:val="Tekstprzypisudolnego"/>
        <w:jc w:val="both"/>
      </w:pPr>
      <w:r w:rsidRPr="004C7755">
        <w:rPr>
          <w:rStyle w:val="Odwoanieprzypisudolnego"/>
          <w:rFonts w:ascii="Arial" w:hAnsi="Arial" w:cs="Arial"/>
          <w:sz w:val="16"/>
          <w:szCs w:val="16"/>
        </w:rPr>
        <w:footnoteRef/>
      </w:r>
      <w:r w:rsidRPr="004C7755">
        <w:rPr>
          <w:rFonts w:ascii="Arial" w:hAnsi="Arial" w:cs="Arial"/>
          <w:sz w:val="16"/>
          <w:szCs w:val="16"/>
        </w:rPr>
        <w:t xml:space="preserve"> </w:t>
      </w:r>
      <w:r w:rsidRPr="007D5822">
        <w:rPr>
          <w:rFonts w:ascii="Arial" w:hAnsi="Arial" w:cs="Arial"/>
          <w:sz w:val="16"/>
          <w:szCs w:val="16"/>
        </w:rPr>
        <w:t>Wypełnić w przypadku projektu realizowanego w partnerstwie. W przypadku, gdy n</w:t>
      </w:r>
      <w:r>
        <w:rPr>
          <w:rFonts w:ascii="Arial" w:hAnsi="Arial" w:cs="Arial"/>
          <w:sz w:val="16"/>
          <w:szCs w:val="16"/>
        </w:rPr>
        <w:t xml:space="preserve">ie są znane konkretne podmioty, </w:t>
      </w:r>
      <w:r w:rsidRPr="007D5822">
        <w:rPr>
          <w:rFonts w:ascii="Arial" w:hAnsi="Arial" w:cs="Arial"/>
          <w:sz w:val="16"/>
          <w:szCs w:val="16"/>
        </w:rPr>
        <w:t>które będą partnerami w</w:t>
      </w:r>
      <w:r w:rsidRPr="00BD4B33">
        <w:rPr>
          <w:rFonts w:ascii="Arial" w:hAnsi="Arial" w:cs="Arial"/>
          <w:sz w:val="16"/>
          <w:szCs w:val="16"/>
        </w:rPr>
        <w:t xml:space="preserve"> projekcie</w:t>
      </w:r>
      <w:r>
        <w:rPr>
          <w:rFonts w:ascii="Arial" w:hAnsi="Arial" w:cs="Arial"/>
          <w:sz w:val="16"/>
          <w:szCs w:val="16"/>
        </w:rPr>
        <w:t>,</w:t>
      </w:r>
      <w:r w:rsidRPr="00BD4B33">
        <w:rPr>
          <w:rFonts w:ascii="Arial" w:hAnsi="Arial" w:cs="Arial"/>
          <w:sz w:val="16"/>
          <w:szCs w:val="16"/>
        </w:rPr>
        <w:t xml:space="preserve"> należy wpisać pożądane cechy partnerów oraz uzasadnić wskazanie określonych cech.</w:t>
      </w:r>
    </w:p>
  </w:footnote>
  <w:footnote w:id="6">
    <w:p w14:paraId="49C68F43" w14:textId="77777777" w:rsidR="0063410A" w:rsidRPr="00B27BC1" w:rsidRDefault="0063410A" w:rsidP="00B75F78">
      <w:pPr>
        <w:pStyle w:val="Tekstprzypisudolnego"/>
        <w:jc w:val="both"/>
        <w:rPr>
          <w:rFonts w:ascii="Arial" w:hAnsi="Arial" w:cs="Arial"/>
          <w:sz w:val="16"/>
          <w:szCs w:val="16"/>
        </w:rPr>
      </w:pPr>
      <w:r w:rsidRPr="00C2188C">
        <w:rPr>
          <w:rStyle w:val="Odwoanieprzypisudolnego"/>
          <w:rFonts w:ascii="Arial" w:hAnsi="Arial" w:cs="Arial"/>
          <w:sz w:val="16"/>
          <w:szCs w:val="16"/>
        </w:rPr>
        <w:footnoteRef/>
      </w:r>
      <w:r w:rsidRPr="00C2188C">
        <w:rPr>
          <w:rFonts w:ascii="Arial" w:hAnsi="Arial" w:cs="Arial"/>
          <w:sz w:val="16"/>
          <w:szCs w:val="16"/>
        </w:rPr>
        <w:t xml:space="preserve"> W szczególności w świetle art. 38 ust. 2 i 3 ustawy z dnia 11 lipca 2014 r. </w:t>
      </w:r>
      <w:r w:rsidRPr="00C2188C">
        <w:rPr>
          <w:rFonts w:ascii="Arial" w:hAnsi="Arial" w:cs="Arial"/>
          <w:i/>
          <w:sz w:val="16"/>
          <w:szCs w:val="16"/>
        </w:rPr>
        <w:t>o zasadach realizacji programów w zakresie polityki spójności finansowanych w perspektywie finansowej 2014–2020</w:t>
      </w:r>
      <w:r w:rsidRPr="00C2188C">
        <w:rPr>
          <w:rFonts w:ascii="Arial" w:hAnsi="Arial" w:cs="Arial"/>
          <w:sz w:val="16"/>
          <w:szCs w:val="16"/>
        </w:rPr>
        <w:t xml:space="preserve"> (Dz.U. </w:t>
      </w:r>
      <w:proofErr w:type="gramStart"/>
      <w:r w:rsidRPr="00C2188C">
        <w:rPr>
          <w:rFonts w:ascii="Arial" w:hAnsi="Arial" w:cs="Arial"/>
          <w:sz w:val="16"/>
          <w:szCs w:val="16"/>
        </w:rPr>
        <w:t>z</w:t>
      </w:r>
      <w:proofErr w:type="gramEnd"/>
      <w:r w:rsidRPr="00C2188C">
        <w:rPr>
          <w:rFonts w:ascii="Arial" w:hAnsi="Arial" w:cs="Arial"/>
          <w:sz w:val="16"/>
          <w:szCs w:val="16"/>
        </w:rPr>
        <w:t xml:space="preserve"> 201</w:t>
      </w:r>
      <w:r>
        <w:rPr>
          <w:rFonts w:ascii="Arial" w:hAnsi="Arial" w:cs="Arial"/>
          <w:sz w:val="16"/>
          <w:szCs w:val="16"/>
        </w:rPr>
        <w:t>8</w:t>
      </w:r>
      <w:r w:rsidRPr="00C2188C">
        <w:rPr>
          <w:rFonts w:ascii="Arial" w:hAnsi="Arial" w:cs="Arial"/>
          <w:sz w:val="16"/>
          <w:szCs w:val="16"/>
        </w:rPr>
        <w:t xml:space="preserve"> r. poz. </w:t>
      </w:r>
      <w:r>
        <w:rPr>
          <w:rFonts w:ascii="Arial" w:hAnsi="Arial" w:cs="Arial"/>
          <w:sz w:val="16"/>
          <w:szCs w:val="16"/>
        </w:rPr>
        <w:t>1431,</w:t>
      </w:r>
      <w:r w:rsidRPr="00C2188C">
        <w:rPr>
          <w:rFonts w:ascii="Arial" w:hAnsi="Arial" w:cs="Arial"/>
          <w:sz w:val="16"/>
          <w:szCs w:val="16"/>
        </w:rPr>
        <w:t xml:space="preserve"> z późn. </w:t>
      </w:r>
      <w:proofErr w:type="gramStart"/>
      <w:r w:rsidRPr="00C2188C">
        <w:rPr>
          <w:rFonts w:ascii="Arial" w:hAnsi="Arial" w:cs="Arial"/>
          <w:sz w:val="16"/>
          <w:szCs w:val="16"/>
        </w:rPr>
        <w:t>zm</w:t>
      </w:r>
      <w:proofErr w:type="gramEnd"/>
      <w:r w:rsidRPr="00C2188C">
        <w:rPr>
          <w:rFonts w:ascii="Arial" w:hAnsi="Arial" w:cs="Arial"/>
          <w:sz w:val="16"/>
          <w:szCs w:val="16"/>
        </w:rPr>
        <w:t xml:space="preserve">.) oraz podrozdziału 5.2.1 </w:t>
      </w:r>
      <w:r w:rsidRPr="00C2188C">
        <w:rPr>
          <w:rFonts w:ascii="Arial" w:hAnsi="Arial" w:cs="Arial"/>
          <w:i/>
          <w:sz w:val="16"/>
          <w:szCs w:val="16"/>
        </w:rPr>
        <w:t>Polityka spójności</w:t>
      </w:r>
      <w:r w:rsidRPr="00C2188C">
        <w:rPr>
          <w:rFonts w:ascii="Arial" w:hAnsi="Arial" w:cs="Arial"/>
          <w:sz w:val="16"/>
          <w:szCs w:val="16"/>
        </w:rPr>
        <w:t xml:space="preserve">, rozdziału 5.2 </w:t>
      </w:r>
      <w:r w:rsidRPr="00C2188C">
        <w:rPr>
          <w:rFonts w:ascii="Arial" w:hAnsi="Arial" w:cs="Arial"/>
          <w:i/>
          <w:sz w:val="16"/>
          <w:szCs w:val="16"/>
        </w:rPr>
        <w:t>Zasady wyboru projektów</w:t>
      </w:r>
      <w:r w:rsidRPr="00C2188C" w:rsidDel="00AC6652">
        <w:rPr>
          <w:rFonts w:ascii="Arial" w:hAnsi="Arial" w:cs="Arial"/>
          <w:sz w:val="16"/>
          <w:szCs w:val="16"/>
        </w:rPr>
        <w:t xml:space="preserve"> </w:t>
      </w:r>
      <w:r w:rsidRPr="00C2188C">
        <w:rPr>
          <w:rFonts w:ascii="Arial" w:hAnsi="Arial" w:cs="Arial"/>
          <w:sz w:val="16"/>
          <w:szCs w:val="16"/>
        </w:rPr>
        <w:t>Umowy Partnerstwa</w:t>
      </w:r>
      <w:r>
        <w:rPr>
          <w:rFonts w:ascii="Arial" w:hAnsi="Arial" w:cs="Arial"/>
          <w:sz w:val="16"/>
          <w:szCs w:val="16"/>
        </w:rPr>
        <w:t>.</w:t>
      </w:r>
      <w:r w:rsidRPr="00C2188C">
        <w:rPr>
          <w:rFonts w:ascii="Arial" w:hAnsi="Arial" w:cs="Arial"/>
          <w:sz w:val="16"/>
          <w:szCs w:val="16"/>
        </w:rPr>
        <w:t xml:space="preserve"> </w:t>
      </w:r>
    </w:p>
  </w:footnote>
  <w:footnote w:id="7">
    <w:p w14:paraId="6172E3EA" w14:textId="77777777" w:rsidR="0063410A" w:rsidRPr="008A2668" w:rsidRDefault="0063410A" w:rsidP="00B75F78">
      <w:pPr>
        <w:pStyle w:val="Tekstprzypisudolnego"/>
        <w:jc w:val="both"/>
        <w:rPr>
          <w:rFonts w:ascii="Arial" w:hAnsi="Arial" w:cs="Arial"/>
          <w:sz w:val="16"/>
          <w:szCs w:val="16"/>
        </w:rPr>
      </w:pPr>
      <w:r w:rsidRPr="008A2668">
        <w:rPr>
          <w:rStyle w:val="Odwoanieprzypisudolnego"/>
          <w:rFonts w:ascii="Arial" w:hAnsi="Arial" w:cs="Arial"/>
          <w:sz w:val="16"/>
          <w:szCs w:val="16"/>
        </w:rPr>
        <w:footnoteRef/>
      </w:r>
      <w:r w:rsidRPr="008A2668">
        <w:rPr>
          <w:rFonts w:ascii="Arial" w:hAnsi="Arial" w:cs="Arial"/>
          <w:sz w:val="16"/>
          <w:szCs w:val="16"/>
        </w:rPr>
        <w:t xml:space="preserve"> Rozbicie wartości docelowych na płeć jest nieobowiązkowe – wypełniane w z</w:t>
      </w:r>
      <w:r>
        <w:rPr>
          <w:rFonts w:ascii="Arial" w:hAnsi="Arial" w:cs="Arial"/>
          <w:sz w:val="16"/>
          <w:szCs w:val="16"/>
        </w:rPr>
        <w:t xml:space="preserve">ależności od specyfiki wsparcia i </w:t>
      </w:r>
      <w:r w:rsidRPr="008A2668">
        <w:rPr>
          <w:rFonts w:ascii="Arial" w:hAnsi="Arial" w:cs="Arial"/>
          <w:sz w:val="16"/>
          <w:szCs w:val="16"/>
        </w:rPr>
        <w:t>samego projektu oraz zidentyfikowanego problemu, który projekt ma rozwiązać lub złagodzić.</w:t>
      </w:r>
    </w:p>
  </w:footnote>
  <w:footnote w:id="8">
    <w:p w14:paraId="0F9E7B67" w14:textId="77777777" w:rsidR="0063410A" w:rsidRDefault="0063410A" w:rsidP="00B75F78">
      <w:pPr>
        <w:pStyle w:val="Tekstprzypisudolnego"/>
        <w:jc w:val="both"/>
      </w:pPr>
      <w:r w:rsidRPr="008A2668">
        <w:rPr>
          <w:rStyle w:val="Odwoanieprzypisudolnego"/>
          <w:rFonts w:ascii="Arial" w:hAnsi="Arial" w:cs="Arial"/>
          <w:sz w:val="16"/>
          <w:szCs w:val="16"/>
        </w:rPr>
        <w:footnoteRef/>
      </w:r>
      <w:r w:rsidRPr="008A2668">
        <w:rPr>
          <w:rFonts w:ascii="Arial" w:hAnsi="Arial" w:cs="Arial"/>
          <w:sz w:val="16"/>
          <w:szCs w:val="16"/>
        </w:rPr>
        <w:t xml:space="preserve"> Rozbicie wartości docelowych na płeć jest nieobowiązkowe – wypełniane w z</w:t>
      </w:r>
      <w:r>
        <w:rPr>
          <w:rFonts w:ascii="Arial" w:hAnsi="Arial" w:cs="Arial"/>
          <w:sz w:val="16"/>
          <w:szCs w:val="16"/>
        </w:rPr>
        <w:t xml:space="preserve">ależności od specyfiki wsparcia i </w:t>
      </w:r>
      <w:r w:rsidRPr="008A2668">
        <w:rPr>
          <w:rFonts w:ascii="Arial" w:hAnsi="Arial" w:cs="Arial"/>
          <w:sz w:val="16"/>
          <w:szCs w:val="16"/>
        </w:rPr>
        <w:t>samego projektu oraz zidentyfikowanego problemu, który projekt ma rozwiązać lub złagodzić.</w:t>
      </w:r>
    </w:p>
  </w:footnote>
  <w:footnote w:id="9">
    <w:p w14:paraId="4DF0C767" w14:textId="77777777" w:rsidR="0063410A" w:rsidRPr="00E25443" w:rsidRDefault="0063410A" w:rsidP="00200F48">
      <w:pPr>
        <w:pStyle w:val="Tekstprzypisudolnego"/>
        <w:jc w:val="both"/>
        <w:rPr>
          <w:rFonts w:ascii="Arial" w:hAnsi="Arial" w:cs="Arial"/>
          <w:sz w:val="16"/>
          <w:szCs w:val="16"/>
        </w:rPr>
      </w:pPr>
      <w:r w:rsidRPr="00E25443">
        <w:rPr>
          <w:rStyle w:val="Odwoanieprzypisudolnego"/>
          <w:rFonts w:ascii="Arial" w:hAnsi="Arial" w:cs="Arial"/>
          <w:sz w:val="16"/>
          <w:szCs w:val="16"/>
        </w:rPr>
        <w:footnoteRef/>
      </w:r>
      <w:r w:rsidRPr="00E25443">
        <w:rPr>
          <w:rFonts w:ascii="Arial" w:hAnsi="Arial" w:cs="Arial"/>
          <w:sz w:val="16"/>
          <w:szCs w:val="16"/>
        </w:rPr>
        <w:t xml:space="preserve"> Należy wskazać roboczą nazwę projektu albo skrótowo opisać istotę, zakres przedmiotowy projektu.</w:t>
      </w:r>
    </w:p>
  </w:footnote>
  <w:footnote w:id="10">
    <w:p w14:paraId="291EA1F8" w14:textId="77777777" w:rsidR="0063410A" w:rsidRPr="001A3770" w:rsidRDefault="0063410A" w:rsidP="00200F48">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sidRPr="001A3770">
        <w:rPr>
          <w:rFonts w:ascii="Arial" w:hAnsi="Arial" w:cs="Arial"/>
          <w:sz w:val="16"/>
          <w:szCs w:val="16"/>
        </w:rPr>
        <w:t xml:space="preserve"> Zgodnie z podrozdziałem 5.2.1 </w:t>
      </w:r>
      <w:r w:rsidRPr="001A3770">
        <w:rPr>
          <w:rFonts w:ascii="Arial" w:hAnsi="Arial" w:cs="Arial"/>
          <w:i/>
          <w:sz w:val="16"/>
          <w:szCs w:val="16"/>
        </w:rPr>
        <w:t>Polityka spójności</w:t>
      </w:r>
      <w:r w:rsidRPr="001A3770">
        <w:rPr>
          <w:rFonts w:ascii="Arial" w:hAnsi="Arial" w:cs="Arial"/>
          <w:sz w:val="16"/>
          <w:szCs w:val="16"/>
        </w:rPr>
        <w:t xml:space="preserve"> rozdziału 5.2 </w:t>
      </w:r>
      <w:r w:rsidRPr="001A3770">
        <w:rPr>
          <w:rFonts w:ascii="Arial" w:hAnsi="Arial" w:cs="Arial"/>
          <w:i/>
          <w:sz w:val="16"/>
          <w:szCs w:val="16"/>
        </w:rPr>
        <w:t>Zasady wyboru projektów</w:t>
      </w:r>
      <w:r w:rsidRPr="001A3770" w:rsidDel="00AC6652">
        <w:rPr>
          <w:rFonts w:ascii="Arial" w:hAnsi="Arial" w:cs="Arial"/>
          <w:sz w:val="16"/>
          <w:szCs w:val="16"/>
        </w:rPr>
        <w:t xml:space="preserve"> </w:t>
      </w:r>
      <w:r w:rsidRPr="001A3770">
        <w:rPr>
          <w:rFonts w:ascii="Arial" w:hAnsi="Arial" w:cs="Arial"/>
          <w:sz w:val="16"/>
          <w:szCs w:val="16"/>
        </w:rPr>
        <w:t>Umowy Partnerstwa przedsięwzięcia o długim horyzoncie czasowym realizacji muszą być dzielone na krótkie etapy, których realizacja będzie uzależniona od osiągnięcia rezultatów założonych na wcześniejszym etapie (kamieni milowych).</w:t>
      </w:r>
    </w:p>
  </w:footnote>
  <w:footnote w:id="11">
    <w:p w14:paraId="173881FC" w14:textId="77777777" w:rsidR="0063410A" w:rsidRPr="001A3770" w:rsidRDefault="0063410A" w:rsidP="00200F48">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sidRPr="001A3770">
        <w:rPr>
          <w:rFonts w:ascii="Arial" w:hAnsi="Arial" w:cs="Arial"/>
          <w:sz w:val="16"/>
          <w:szCs w:val="16"/>
        </w:rPr>
        <w:t xml:space="preserve"> W przypadku opracowywania Rocznego Planu Działania przez IP, podmiotem zgłaszającym projekt jest IP. W przypadku opracowywania Rocznego Planu Działania przez IZ należy wpisać nazwę podmiotu, który zgłosił projekt do IZ. </w:t>
      </w:r>
    </w:p>
  </w:footnote>
  <w:footnote w:id="12">
    <w:p w14:paraId="6DDF60AF" w14:textId="77777777" w:rsidR="0063410A" w:rsidRPr="004C7755" w:rsidRDefault="0063410A" w:rsidP="00200F48">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sidRPr="001A3770">
        <w:rPr>
          <w:rFonts w:ascii="Arial" w:hAnsi="Arial" w:cs="Arial"/>
          <w:sz w:val="16"/>
          <w:szCs w:val="16"/>
        </w:rPr>
        <w:t xml:space="preserve"> W szczególności w świetle art. 38 ust. 2 i 3 ustawy z dnia 11 lipca 2014 r. </w:t>
      </w:r>
      <w:r w:rsidRPr="001A3770">
        <w:rPr>
          <w:rFonts w:ascii="Arial" w:hAnsi="Arial" w:cs="Arial"/>
          <w:i/>
          <w:sz w:val="16"/>
          <w:szCs w:val="16"/>
        </w:rPr>
        <w:t>o zasadach realizacji programów w zakresie polityki spójności finansowanych w perspektywie finansowej 2014–2020</w:t>
      </w:r>
      <w:r w:rsidRPr="001A3770">
        <w:rPr>
          <w:rFonts w:ascii="Arial" w:hAnsi="Arial" w:cs="Arial"/>
          <w:sz w:val="16"/>
          <w:szCs w:val="16"/>
        </w:rPr>
        <w:t xml:space="preserve"> </w:t>
      </w:r>
      <w:r w:rsidRPr="00C2188C">
        <w:rPr>
          <w:rFonts w:ascii="Arial" w:hAnsi="Arial" w:cs="Arial"/>
          <w:sz w:val="16"/>
          <w:szCs w:val="16"/>
        </w:rPr>
        <w:t xml:space="preserve">(Dz.U. </w:t>
      </w:r>
      <w:proofErr w:type="gramStart"/>
      <w:r w:rsidRPr="00C2188C">
        <w:rPr>
          <w:rFonts w:ascii="Arial" w:hAnsi="Arial" w:cs="Arial"/>
          <w:sz w:val="16"/>
          <w:szCs w:val="16"/>
        </w:rPr>
        <w:t>z</w:t>
      </w:r>
      <w:proofErr w:type="gramEnd"/>
      <w:r w:rsidRPr="00C2188C">
        <w:rPr>
          <w:rFonts w:ascii="Arial" w:hAnsi="Arial" w:cs="Arial"/>
          <w:sz w:val="16"/>
          <w:szCs w:val="16"/>
        </w:rPr>
        <w:t xml:space="preserve"> 201</w:t>
      </w:r>
      <w:r>
        <w:rPr>
          <w:rFonts w:ascii="Arial" w:hAnsi="Arial" w:cs="Arial"/>
          <w:sz w:val="16"/>
          <w:szCs w:val="16"/>
        </w:rPr>
        <w:t>8</w:t>
      </w:r>
      <w:r w:rsidRPr="00C2188C">
        <w:rPr>
          <w:rFonts w:ascii="Arial" w:hAnsi="Arial" w:cs="Arial"/>
          <w:sz w:val="16"/>
          <w:szCs w:val="16"/>
        </w:rPr>
        <w:t xml:space="preserve"> r. poz. </w:t>
      </w:r>
      <w:r>
        <w:rPr>
          <w:rFonts w:ascii="Arial" w:hAnsi="Arial" w:cs="Arial"/>
          <w:sz w:val="16"/>
          <w:szCs w:val="16"/>
        </w:rPr>
        <w:t>1431,</w:t>
      </w:r>
      <w:r w:rsidRPr="00C2188C">
        <w:rPr>
          <w:rFonts w:ascii="Arial" w:hAnsi="Arial" w:cs="Arial"/>
          <w:sz w:val="16"/>
          <w:szCs w:val="16"/>
        </w:rPr>
        <w:t xml:space="preserve"> z późn. </w:t>
      </w:r>
      <w:proofErr w:type="gramStart"/>
      <w:r w:rsidRPr="00C2188C">
        <w:rPr>
          <w:rFonts w:ascii="Arial" w:hAnsi="Arial" w:cs="Arial"/>
          <w:sz w:val="16"/>
          <w:szCs w:val="16"/>
        </w:rPr>
        <w:t>zm</w:t>
      </w:r>
      <w:proofErr w:type="gramEnd"/>
      <w:r w:rsidRPr="00C2188C">
        <w:rPr>
          <w:rFonts w:ascii="Arial" w:hAnsi="Arial" w:cs="Arial"/>
          <w:sz w:val="16"/>
          <w:szCs w:val="16"/>
        </w:rPr>
        <w:t xml:space="preserve">.) </w:t>
      </w:r>
      <w:r w:rsidRPr="001A3770">
        <w:rPr>
          <w:rFonts w:ascii="Arial" w:hAnsi="Arial" w:cs="Arial"/>
          <w:sz w:val="16"/>
          <w:szCs w:val="16"/>
        </w:rPr>
        <w:t xml:space="preserve">oraz podrozdziału 5.2.1 </w:t>
      </w:r>
      <w:r w:rsidRPr="001A3770">
        <w:rPr>
          <w:rFonts w:ascii="Arial" w:hAnsi="Arial" w:cs="Arial"/>
          <w:i/>
          <w:sz w:val="16"/>
          <w:szCs w:val="16"/>
        </w:rPr>
        <w:t>Polityka spójności</w:t>
      </w:r>
      <w:r w:rsidRPr="001A3770">
        <w:rPr>
          <w:rFonts w:ascii="Arial" w:hAnsi="Arial" w:cs="Arial"/>
          <w:sz w:val="16"/>
          <w:szCs w:val="16"/>
        </w:rPr>
        <w:t xml:space="preserve">, rozdziału 5.2 </w:t>
      </w:r>
      <w:r w:rsidRPr="001A3770">
        <w:rPr>
          <w:rFonts w:ascii="Arial" w:hAnsi="Arial" w:cs="Arial"/>
          <w:i/>
          <w:sz w:val="16"/>
          <w:szCs w:val="16"/>
        </w:rPr>
        <w:t>Zasady wyboru projektów</w:t>
      </w:r>
      <w:r w:rsidRPr="001A3770" w:rsidDel="00AC6652">
        <w:rPr>
          <w:rFonts w:ascii="Arial" w:hAnsi="Arial" w:cs="Arial"/>
          <w:sz w:val="16"/>
          <w:szCs w:val="16"/>
        </w:rPr>
        <w:t xml:space="preserve"> </w:t>
      </w:r>
      <w:r w:rsidRPr="001A3770">
        <w:rPr>
          <w:rFonts w:ascii="Arial" w:hAnsi="Arial" w:cs="Arial"/>
          <w:sz w:val="16"/>
          <w:szCs w:val="16"/>
        </w:rPr>
        <w:t>Umowy Partnerstwa</w:t>
      </w:r>
      <w:r>
        <w:rPr>
          <w:rFonts w:ascii="Arial" w:hAnsi="Arial" w:cs="Arial"/>
          <w:sz w:val="16"/>
          <w:szCs w:val="16"/>
        </w:rPr>
        <w:t>.</w:t>
      </w:r>
      <w:r w:rsidRPr="001A3770">
        <w:rPr>
          <w:rFonts w:ascii="Arial" w:hAnsi="Arial" w:cs="Arial"/>
          <w:sz w:val="16"/>
          <w:szCs w:val="16"/>
        </w:rPr>
        <w:t xml:space="preserve"> </w:t>
      </w:r>
    </w:p>
  </w:footnote>
  <w:footnote w:id="13">
    <w:p w14:paraId="2D8D05FF" w14:textId="77777777" w:rsidR="0063410A" w:rsidRDefault="0063410A" w:rsidP="00200F48">
      <w:pPr>
        <w:pStyle w:val="Tekstprzypisudolnego"/>
        <w:jc w:val="both"/>
      </w:pPr>
      <w:r w:rsidRPr="004C7755">
        <w:rPr>
          <w:rStyle w:val="Odwoanieprzypisudolnego"/>
          <w:rFonts w:ascii="Arial" w:hAnsi="Arial" w:cs="Arial"/>
          <w:sz w:val="16"/>
          <w:szCs w:val="16"/>
        </w:rPr>
        <w:footnoteRef/>
      </w:r>
      <w:r w:rsidRPr="004C7755">
        <w:rPr>
          <w:rFonts w:ascii="Arial" w:hAnsi="Arial" w:cs="Arial"/>
          <w:sz w:val="16"/>
          <w:szCs w:val="16"/>
        </w:rPr>
        <w:t xml:space="preserve"> </w:t>
      </w:r>
      <w:r w:rsidRPr="007D5822">
        <w:rPr>
          <w:rFonts w:ascii="Arial" w:hAnsi="Arial" w:cs="Arial"/>
          <w:sz w:val="16"/>
          <w:szCs w:val="16"/>
        </w:rPr>
        <w:t>Wypełnić w przypadku projektu realizowanego w partnerstwie. W przypadku, gdy n</w:t>
      </w:r>
      <w:r>
        <w:rPr>
          <w:rFonts w:ascii="Arial" w:hAnsi="Arial" w:cs="Arial"/>
          <w:sz w:val="16"/>
          <w:szCs w:val="16"/>
        </w:rPr>
        <w:t xml:space="preserve">ie są znane konkretne podmioty, </w:t>
      </w:r>
      <w:r w:rsidRPr="007D5822">
        <w:rPr>
          <w:rFonts w:ascii="Arial" w:hAnsi="Arial" w:cs="Arial"/>
          <w:sz w:val="16"/>
          <w:szCs w:val="16"/>
        </w:rPr>
        <w:t>które będą partnerami w</w:t>
      </w:r>
      <w:r w:rsidRPr="00BD4B33">
        <w:rPr>
          <w:rFonts w:ascii="Arial" w:hAnsi="Arial" w:cs="Arial"/>
          <w:sz w:val="16"/>
          <w:szCs w:val="16"/>
        </w:rPr>
        <w:t xml:space="preserve"> projekcie</w:t>
      </w:r>
      <w:r>
        <w:rPr>
          <w:rFonts w:ascii="Arial" w:hAnsi="Arial" w:cs="Arial"/>
          <w:sz w:val="16"/>
          <w:szCs w:val="16"/>
        </w:rPr>
        <w:t>,</w:t>
      </w:r>
      <w:r w:rsidRPr="00BD4B33">
        <w:rPr>
          <w:rFonts w:ascii="Arial" w:hAnsi="Arial" w:cs="Arial"/>
          <w:sz w:val="16"/>
          <w:szCs w:val="16"/>
        </w:rPr>
        <w:t xml:space="preserve"> należy wpisać pożądane cechy partnerów oraz uzasadnić wskazanie określonych cech.</w:t>
      </w:r>
    </w:p>
  </w:footnote>
  <w:footnote w:id="14">
    <w:p w14:paraId="162BDB2F" w14:textId="77777777" w:rsidR="0063410A" w:rsidRPr="00B27BC1" w:rsidRDefault="0063410A" w:rsidP="00200F48">
      <w:pPr>
        <w:pStyle w:val="Tekstprzypisudolnego"/>
        <w:jc w:val="both"/>
        <w:rPr>
          <w:rFonts w:ascii="Arial" w:hAnsi="Arial" w:cs="Arial"/>
          <w:sz w:val="16"/>
          <w:szCs w:val="16"/>
        </w:rPr>
      </w:pPr>
      <w:r w:rsidRPr="00C2188C">
        <w:rPr>
          <w:rStyle w:val="Odwoanieprzypisudolnego"/>
          <w:rFonts w:ascii="Arial" w:hAnsi="Arial" w:cs="Arial"/>
          <w:sz w:val="16"/>
          <w:szCs w:val="16"/>
        </w:rPr>
        <w:footnoteRef/>
      </w:r>
      <w:r w:rsidRPr="00C2188C">
        <w:rPr>
          <w:rFonts w:ascii="Arial" w:hAnsi="Arial" w:cs="Arial"/>
          <w:sz w:val="16"/>
          <w:szCs w:val="16"/>
        </w:rPr>
        <w:t xml:space="preserve"> W szczególności w świetle art. 38 ust. 2 i 3 ustawy z dnia 11 lipca 2014 r. </w:t>
      </w:r>
      <w:r w:rsidRPr="00C2188C">
        <w:rPr>
          <w:rFonts w:ascii="Arial" w:hAnsi="Arial" w:cs="Arial"/>
          <w:i/>
          <w:sz w:val="16"/>
          <w:szCs w:val="16"/>
        </w:rPr>
        <w:t>o zasadach realizacji programów w zakresie polityki spójności finansowanych w perspektywie finansowej 2014–2020</w:t>
      </w:r>
      <w:r w:rsidRPr="00C2188C">
        <w:rPr>
          <w:rFonts w:ascii="Arial" w:hAnsi="Arial" w:cs="Arial"/>
          <w:sz w:val="16"/>
          <w:szCs w:val="16"/>
        </w:rPr>
        <w:t xml:space="preserve"> (Dz.U. </w:t>
      </w:r>
      <w:proofErr w:type="gramStart"/>
      <w:r w:rsidRPr="00C2188C">
        <w:rPr>
          <w:rFonts w:ascii="Arial" w:hAnsi="Arial" w:cs="Arial"/>
          <w:sz w:val="16"/>
          <w:szCs w:val="16"/>
        </w:rPr>
        <w:t>z</w:t>
      </w:r>
      <w:proofErr w:type="gramEnd"/>
      <w:r w:rsidRPr="00C2188C">
        <w:rPr>
          <w:rFonts w:ascii="Arial" w:hAnsi="Arial" w:cs="Arial"/>
          <w:sz w:val="16"/>
          <w:szCs w:val="16"/>
        </w:rPr>
        <w:t xml:space="preserve"> 201</w:t>
      </w:r>
      <w:r>
        <w:rPr>
          <w:rFonts w:ascii="Arial" w:hAnsi="Arial" w:cs="Arial"/>
          <w:sz w:val="16"/>
          <w:szCs w:val="16"/>
        </w:rPr>
        <w:t>8</w:t>
      </w:r>
      <w:r w:rsidRPr="00C2188C">
        <w:rPr>
          <w:rFonts w:ascii="Arial" w:hAnsi="Arial" w:cs="Arial"/>
          <w:sz w:val="16"/>
          <w:szCs w:val="16"/>
        </w:rPr>
        <w:t xml:space="preserve"> r. poz. </w:t>
      </w:r>
      <w:r>
        <w:rPr>
          <w:rFonts w:ascii="Arial" w:hAnsi="Arial" w:cs="Arial"/>
          <w:sz w:val="16"/>
          <w:szCs w:val="16"/>
        </w:rPr>
        <w:t>1431,</w:t>
      </w:r>
      <w:r w:rsidRPr="00C2188C">
        <w:rPr>
          <w:rFonts w:ascii="Arial" w:hAnsi="Arial" w:cs="Arial"/>
          <w:sz w:val="16"/>
          <w:szCs w:val="16"/>
        </w:rPr>
        <w:t xml:space="preserve"> z późn. </w:t>
      </w:r>
      <w:proofErr w:type="gramStart"/>
      <w:r w:rsidRPr="00C2188C">
        <w:rPr>
          <w:rFonts w:ascii="Arial" w:hAnsi="Arial" w:cs="Arial"/>
          <w:sz w:val="16"/>
          <w:szCs w:val="16"/>
        </w:rPr>
        <w:t>zm</w:t>
      </w:r>
      <w:proofErr w:type="gramEnd"/>
      <w:r w:rsidRPr="00C2188C">
        <w:rPr>
          <w:rFonts w:ascii="Arial" w:hAnsi="Arial" w:cs="Arial"/>
          <w:sz w:val="16"/>
          <w:szCs w:val="16"/>
        </w:rPr>
        <w:t xml:space="preserve">.) oraz podrozdziału 5.2.1 </w:t>
      </w:r>
      <w:r w:rsidRPr="00C2188C">
        <w:rPr>
          <w:rFonts w:ascii="Arial" w:hAnsi="Arial" w:cs="Arial"/>
          <w:i/>
          <w:sz w:val="16"/>
          <w:szCs w:val="16"/>
        </w:rPr>
        <w:t>Polityka spójności</w:t>
      </w:r>
      <w:r w:rsidRPr="00C2188C">
        <w:rPr>
          <w:rFonts w:ascii="Arial" w:hAnsi="Arial" w:cs="Arial"/>
          <w:sz w:val="16"/>
          <w:szCs w:val="16"/>
        </w:rPr>
        <w:t xml:space="preserve">, rozdziału 5.2 </w:t>
      </w:r>
      <w:r w:rsidRPr="00C2188C">
        <w:rPr>
          <w:rFonts w:ascii="Arial" w:hAnsi="Arial" w:cs="Arial"/>
          <w:i/>
          <w:sz w:val="16"/>
          <w:szCs w:val="16"/>
        </w:rPr>
        <w:t>Zasady wyboru projektów</w:t>
      </w:r>
      <w:r w:rsidRPr="00C2188C" w:rsidDel="00AC6652">
        <w:rPr>
          <w:rFonts w:ascii="Arial" w:hAnsi="Arial" w:cs="Arial"/>
          <w:sz w:val="16"/>
          <w:szCs w:val="16"/>
        </w:rPr>
        <w:t xml:space="preserve"> </w:t>
      </w:r>
      <w:r w:rsidRPr="00C2188C">
        <w:rPr>
          <w:rFonts w:ascii="Arial" w:hAnsi="Arial" w:cs="Arial"/>
          <w:sz w:val="16"/>
          <w:szCs w:val="16"/>
        </w:rPr>
        <w:t>Umowy Partnerstwa</w:t>
      </w:r>
      <w:r>
        <w:rPr>
          <w:rFonts w:ascii="Arial" w:hAnsi="Arial" w:cs="Arial"/>
          <w:sz w:val="16"/>
          <w:szCs w:val="16"/>
        </w:rPr>
        <w:t>.</w:t>
      </w:r>
      <w:r w:rsidRPr="00C2188C">
        <w:rPr>
          <w:rFonts w:ascii="Arial" w:hAnsi="Arial" w:cs="Arial"/>
          <w:sz w:val="16"/>
          <w:szCs w:val="16"/>
        </w:rPr>
        <w:t xml:space="preserve"> </w:t>
      </w:r>
    </w:p>
  </w:footnote>
  <w:footnote w:id="15">
    <w:p w14:paraId="2B8461DB" w14:textId="77777777" w:rsidR="0063410A" w:rsidRPr="008A2668" w:rsidRDefault="0063410A" w:rsidP="00200F48">
      <w:pPr>
        <w:pStyle w:val="Tekstprzypisudolnego"/>
        <w:jc w:val="both"/>
        <w:rPr>
          <w:rFonts w:ascii="Arial" w:hAnsi="Arial" w:cs="Arial"/>
          <w:sz w:val="16"/>
          <w:szCs w:val="16"/>
        </w:rPr>
      </w:pPr>
      <w:r w:rsidRPr="008A2668">
        <w:rPr>
          <w:rStyle w:val="Odwoanieprzypisudolnego"/>
          <w:rFonts w:ascii="Arial" w:hAnsi="Arial" w:cs="Arial"/>
          <w:sz w:val="16"/>
          <w:szCs w:val="16"/>
        </w:rPr>
        <w:footnoteRef/>
      </w:r>
      <w:r w:rsidRPr="008A2668">
        <w:rPr>
          <w:rFonts w:ascii="Arial" w:hAnsi="Arial" w:cs="Arial"/>
          <w:sz w:val="16"/>
          <w:szCs w:val="16"/>
        </w:rPr>
        <w:t xml:space="preserve"> Rozbicie wartości docelowych na płeć jest nieobowiązkowe – wypełniane w z</w:t>
      </w:r>
      <w:r>
        <w:rPr>
          <w:rFonts w:ascii="Arial" w:hAnsi="Arial" w:cs="Arial"/>
          <w:sz w:val="16"/>
          <w:szCs w:val="16"/>
        </w:rPr>
        <w:t xml:space="preserve">ależności od specyfiki wsparcia i </w:t>
      </w:r>
      <w:r w:rsidRPr="008A2668">
        <w:rPr>
          <w:rFonts w:ascii="Arial" w:hAnsi="Arial" w:cs="Arial"/>
          <w:sz w:val="16"/>
          <w:szCs w:val="16"/>
        </w:rPr>
        <w:t>samego projektu oraz zidentyfikowanego problemu, który projekt ma rozwiązać lub złagodzić.</w:t>
      </w:r>
    </w:p>
  </w:footnote>
  <w:footnote w:id="16">
    <w:p w14:paraId="10AAE8DA" w14:textId="77777777" w:rsidR="0063410A" w:rsidRDefault="0063410A" w:rsidP="00200F48">
      <w:pPr>
        <w:pStyle w:val="Tekstprzypisudolnego"/>
        <w:jc w:val="both"/>
      </w:pPr>
      <w:r w:rsidRPr="008A2668">
        <w:rPr>
          <w:rStyle w:val="Odwoanieprzypisudolnego"/>
          <w:rFonts w:ascii="Arial" w:hAnsi="Arial" w:cs="Arial"/>
          <w:sz w:val="16"/>
          <w:szCs w:val="16"/>
        </w:rPr>
        <w:footnoteRef/>
      </w:r>
      <w:r w:rsidRPr="008A2668">
        <w:rPr>
          <w:rFonts w:ascii="Arial" w:hAnsi="Arial" w:cs="Arial"/>
          <w:sz w:val="16"/>
          <w:szCs w:val="16"/>
        </w:rPr>
        <w:t xml:space="preserve"> Rozbicie wartości docelowych na płeć jest nieobowiązkowe – wypełniane w z</w:t>
      </w:r>
      <w:r>
        <w:rPr>
          <w:rFonts w:ascii="Arial" w:hAnsi="Arial" w:cs="Arial"/>
          <w:sz w:val="16"/>
          <w:szCs w:val="16"/>
        </w:rPr>
        <w:t xml:space="preserve">ależności od specyfiki wsparcia i </w:t>
      </w:r>
      <w:r w:rsidRPr="008A2668">
        <w:rPr>
          <w:rFonts w:ascii="Arial" w:hAnsi="Arial" w:cs="Arial"/>
          <w:sz w:val="16"/>
          <w:szCs w:val="16"/>
        </w:rPr>
        <w:t>samego projektu oraz zidentyfikowanego problemu, który projekt ma rozwiązać lub złagodzić.</w:t>
      </w:r>
    </w:p>
  </w:footnote>
  <w:footnote w:id="17">
    <w:p w14:paraId="07B3A1F4" w14:textId="77777777" w:rsidR="0063410A" w:rsidRPr="00E25443" w:rsidRDefault="0063410A" w:rsidP="00200F48">
      <w:pPr>
        <w:pStyle w:val="Tekstprzypisudolnego"/>
        <w:jc w:val="both"/>
        <w:rPr>
          <w:rFonts w:ascii="Arial" w:hAnsi="Arial" w:cs="Arial"/>
          <w:sz w:val="16"/>
          <w:szCs w:val="16"/>
        </w:rPr>
      </w:pPr>
      <w:r w:rsidRPr="00E25443">
        <w:rPr>
          <w:rStyle w:val="Odwoanieprzypisudolnego"/>
          <w:rFonts w:ascii="Arial" w:hAnsi="Arial" w:cs="Arial"/>
          <w:sz w:val="16"/>
          <w:szCs w:val="16"/>
        </w:rPr>
        <w:footnoteRef/>
      </w:r>
      <w:r w:rsidRPr="00E25443">
        <w:rPr>
          <w:rFonts w:ascii="Arial" w:hAnsi="Arial" w:cs="Arial"/>
          <w:sz w:val="16"/>
          <w:szCs w:val="16"/>
        </w:rPr>
        <w:t xml:space="preserve"> Należy wskazać roboczą nazwę projektu albo skrótowo opisać istotę, zakres przedmiotowy projektu.</w:t>
      </w:r>
    </w:p>
  </w:footnote>
  <w:footnote w:id="18">
    <w:p w14:paraId="1158CE4F" w14:textId="77777777" w:rsidR="0063410A" w:rsidRPr="001A3770" w:rsidRDefault="0063410A" w:rsidP="00200F48">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sidRPr="001A3770">
        <w:rPr>
          <w:rFonts w:ascii="Arial" w:hAnsi="Arial" w:cs="Arial"/>
          <w:sz w:val="16"/>
          <w:szCs w:val="16"/>
        </w:rPr>
        <w:t xml:space="preserve"> Zgodnie z podrozdziałem 5.2.1 </w:t>
      </w:r>
      <w:r w:rsidRPr="001A3770">
        <w:rPr>
          <w:rFonts w:ascii="Arial" w:hAnsi="Arial" w:cs="Arial"/>
          <w:i/>
          <w:sz w:val="16"/>
          <w:szCs w:val="16"/>
        </w:rPr>
        <w:t>Polityka spójności</w:t>
      </w:r>
      <w:r w:rsidRPr="001A3770">
        <w:rPr>
          <w:rFonts w:ascii="Arial" w:hAnsi="Arial" w:cs="Arial"/>
          <w:sz w:val="16"/>
          <w:szCs w:val="16"/>
        </w:rPr>
        <w:t xml:space="preserve"> rozdziału 5.2 </w:t>
      </w:r>
      <w:r w:rsidRPr="001A3770">
        <w:rPr>
          <w:rFonts w:ascii="Arial" w:hAnsi="Arial" w:cs="Arial"/>
          <w:i/>
          <w:sz w:val="16"/>
          <w:szCs w:val="16"/>
        </w:rPr>
        <w:t>Zasady wyboru projektów</w:t>
      </w:r>
      <w:r w:rsidRPr="001A3770" w:rsidDel="00AC6652">
        <w:rPr>
          <w:rFonts w:ascii="Arial" w:hAnsi="Arial" w:cs="Arial"/>
          <w:sz w:val="16"/>
          <w:szCs w:val="16"/>
        </w:rPr>
        <w:t xml:space="preserve"> </w:t>
      </w:r>
      <w:r w:rsidRPr="001A3770">
        <w:rPr>
          <w:rFonts w:ascii="Arial" w:hAnsi="Arial" w:cs="Arial"/>
          <w:sz w:val="16"/>
          <w:szCs w:val="16"/>
        </w:rPr>
        <w:t>Umowy Partnerstwa przedsięwzięcia o długim horyzoncie czasowym realizacji muszą być dzielone na krótkie etapy, których realizacja będzie uzależniona od osiągnięcia rezultatów założonych na wcześniejszym etapie (kamieni milowych).</w:t>
      </w:r>
    </w:p>
  </w:footnote>
  <w:footnote w:id="19">
    <w:p w14:paraId="16EF56D0" w14:textId="77777777" w:rsidR="0063410A" w:rsidRPr="001A3770" w:rsidRDefault="0063410A" w:rsidP="00200F48">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sidRPr="001A3770">
        <w:rPr>
          <w:rFonts w:ascii="Arial" w:hAnsi="Arial" w:cs="Arial"/>
          <w:sz w:val="16"/>
          <w:szCs w:val="16"/>
        </w:rPr>
        <w:t xml:space="preserve"> W przypadku opracowywania Rocznego Planu Działania przez IP, podmiotem zgłaszającym projekt jest IP. W przypadku opracowywania Rocznego Planu Działania przez IZ należy wpisać nazwę podmiotu, który zgłosił projekt do IZ. </w:t>
      </w:r>
    </w:p>
  </w:footnote>
  <w:footnote w:id="20">
    <w:p w14:paraId="76E2202F" w14:textId="77777777" w:rsidR="0063410A" w:rsidRPr="004C7755" w:rsidRDefault="0063410A" w:rsidP="00200F48">
      <w:pPr>
        <w:pStyle w:val="Tekstprzypisudolnego"/>
        <w:jc w:val="both"/>
        <w:rPr>
          <w:rFonts w:ascii="Arial" w:hAnsi="Arial" w:cs="Arial"/>
          <w:sz w:val="16"/>
          <w:szCs w:val="16"/>
        </w:rPr>
      </w:pPr>
      <w:r w:rsidRPr="001A3770">
        <w:rPr>
          <w:rStyle w:val="Odwoanieprzypisudolnego"/>
          <w:rFonts w:ascii="Arial" w:hAnsi="Arial" w:cs="Arial"/>
          <w:sz w:val="16"/>
          <w:szCs w:val="16"/>
        </w:rPr>
        <w:footnoteRef/>
      </w:r>
      <w:r w:rsidRPr="001A3770">
        <w:rPr>
          <w:rFonts w:ascii="Arial" w:hAnsi="Arial" w:cs="Arial"/>
          <w:sz w:val="16"/>
          <w:szCs w:val="16"/>
        </w:rPr>
        <w:t xml:space="preserve"> W szczególności w świetle art. 38 ust. 2 i 3 ustawy z dnia 11 lipca 2014 r. </w:t>
      </w:r>
      <w:r w:rsidRPr="001A3770">
        <w:rPr>
          <w:rFonts w:ascii="Arial" w:hAnsi="Arial" w:cs="Arial"/>
          <w:i/>
          <w:sz w:val="16"/>
          <w:szCs w:val="16"/>
        </w:rPr>
        <w:t>o zasadach realizacji programów w zakresie polityki spójności finansowanych w perspektywie finansowej 2014–2020</w:t>
      </w:r>
      <w:r w:rsidRPr="001A3770">
        <w:rPr>
          <w:rFonts w:ascii="Arial" w:hAnsi="Arial" w:cs="Arial"/>
          <w:sz w:val="16"/>
          <w:szCs w:val="16"/>
        </w:rPr>
        <w:t xml:space="preserve"> </w:t>
      </w:r>
      <w:r w:rsidRPr="00C2188C">
        <w:rPr>
          <w:rFonts w:ascii="Arial" w:hAnsi="Arial" w:cs="Arial"/>
          <w:sz w:val="16"/>
          <w:szCs w:val="16"/>
        </w:rPr>
        <w:t xml:space="preserve">(Dz.U. </w:t>
      </w:r>
      <w:proofErr w:type="gramStart"/>
      <w:r w:rsidRPr="00C2188C">
        <w:rPr>
          <w:rFonts w:ascii="Arial" w:hAnsi="Arial" w:cs="Arial"/>
          <w:sz w:val="16"/>
          <w:szCs w:val="16"/>
        </w:rPr>
        <w:t>z</w:t>
      </w:r>
      <w:proofErr w:type="gramEnd"/>
      <w:r w:rsidRPr="00C2188C">
        <w:rPr>
          <w:rFonts w:ascii="Arial" w:hAnsi="Arial" w:cs="Arial"/>
          <w:sz w:val="16"/>
          <w:szCs w:val="16"/>
        </w:rPr>
        <w:t xml:space="preserve"> 201</w:t>
      </w:r>
      <w:r>
        <w:rPr>
          <w:rFonts w:ascii="Arial" w:hAnsi="Arial" w:cs="Arial"/>
          <w:sz w:val="16"/>
          <w:szCs w:val="16"/>
        </w:rPr>
        <w:t>8</w:t>
      </w:r>
      <w:r w:rsidRPr="00C2188C">
        <w:rPr>
          <w:rFonts w:ascii="Arial" w:hAnsi="Arial" w:cs="Arial"/>
          <w:sz w:val="16"/>
          <w:szCs w:val="16"/>
        </w:rPr>
        <w:t xml:space="preserve"> r. poz. </w:t>
      </w:r>
      <w:r>
        <w:rPr>
          <w:rFonts w:ascii="Arial" w:hAnsi="Arial" w:cs="Arial"/>
          <w:sz w:val="16"/>
          <w:szCs w:val="16"/>
        </w:rPr>
        <w:t>1431,</w:t>
      </w:r>
      <w:r w:rsidRPr="00C2188C">
        <w:rPr>
          <w:rFonts w:ascii="Arial" w:hAnsi="Arial" w:cs="Arial"/>
          <w:sz w:val="16"/>
          <w:szCs w:val="16"/>
        </w:rPr>
        <w:t xml:space="preserve"> z późn. </w:t>
      </w:r>
      <w:proofErr w:type="gramStart"/>
      <w:r w:rsidRPr="00C2188C">
        <w:rPr>
          <w:rFonts w:ascii="Arial" w:hAnsi="Arial" w:cs="Arial"/>
          <w:sz w:val="16"/>
          <w:szCs w:val="16"/>
        </w:rPr>
        <w:t>zm</w:t>
      </w:r>
      <w:proofErr w:type="gramEnd"/>
      <w:r w:rsidRPr="00C2188C">
        <w:rPr>
          <w:rFonts w:ascii="Arial" w:hAnsi="Arial" w:cs="Arial"/>
          <w:sz w:val="16"/>
          <w:szCs w:val="16"/>
        </w:rPr>
        <w:t xml:space="preserve">.) </w:t>
      </w:r>
      <w:r w:rsidRPr="001A3770">
        <w:rPr>
          <w:rFonts w:ascii="Arial" w:hAnsi="Arial" w:cs="Arial"/>
          <w:sz w:val="16"/>
          <w:szCs w:val="16"/>
        </w:rPr>
        <w:t xml:space="preserve">oraz podrozdziału 5.2.1 </w:t>
      </w:r>
      <w:r w:rsidRPr="001A3770">
        <w:rPr>
          <w:rFonts w:ascii="Arial" w:hAnsi="Arial" w:cs="Arial"/>
          <w:i/>
          <w:sz w:val="16"/>
          <w:szCs w:val="16"/>
        </w:rPr>
        <w:t>Polityka spójności</w:t>
      </w:r>
      <w:r w:rsidRPr="001A3770">
        <w:rPr>
          <w:rFonts w:ascii="Arial" w:hAnsi="Arial" w:cs="Arial"/>
          <w:sz w:val="16"/>
          <w:szCs w:val="16"/>
        </w:rPr>
        <w:t xml:space="preserve">, rozdziału 5.2 </w:t>
      </w:r>
      <w:r w:rsidRPr="001A3770">
        <w:rPr>
          <w:rFonts w:ascii="Arial" w:hAnsi="Arial" w:cs="Arial"/>
          <w:i/>
          <w:sz w:val="16"/>
          <w:szCs w:val="16"/>
        </w:rPr>
        <w:t>Zasady wyboru projektów</w:t>
      </w:r>
      <w:r w:rsidRPr="001A3770" w:rsidDel="00AC6652">
        <w:rPr>
          <w:rFonts w:ascii="Arial" w:hAnsi="Arial" w:cs="Arial"/>
          <w:sz w:val="16"/>
          <w:szCs w:val="16"/>
        </w:rPr>
        <w:t xml:space="preserve"> </w:t>
      </w:r>
      <w:r w:rsidRPr="001A3770">
        <w:rPr>
          <w:rFonts w:ascii="Arial" w:hAnsi="Arial" w:cs="Arial"/>
          <w:sz w:val="16"/>
          <w:szCs w:val="16"/>
        </w:rPr>
        <w:t>Umowy Partnerstwa</w:t>
      </w:r>
      <w:r>
        <w:rPr>
          <w:rFonts w:ascii="Arial" w:hAnsi="Arial" w:cs="Arial"/>
          <w:sz w:val="16"/>
          <w:szCs w:val="16"/>
        </w:rPr>
        <w:t>.</w:t>
      </w:r>
      <w:r w:rsidRPr="001A3770">
        <w:rPr>
          <w:rFonts w:ascii="Arial" w:hAnsi="Arial" w:cs="Arial"/>
          <w:sz w:val="16"/>
          <w:szCs w:val="16"/>
        </w:rPr>
        <w:t xml:space="preserve"> </w:t>
      </w:r>
    </w:p>
  </w:footnote>
  <w:footnote w:id="21">
    <w:p w14:paraId="5BF994DF" w14:textId="77777777" w:rsidR="0063410A" w:rsidRDefault="0063410A" w:rsidP="00200F48">
      <w:pPr>
        <w:pStyle w:val="Tekstprzypisudolnego"/>
        <w:jc w:val="both"/>
      </w:pPr>
      <w:r w:rsidRPr="004C7755">
        <w:rPr>
          <w:rStyle w:val="Odwoanieprzypisudolnego"/>
          <w:rFonts w:ascii="Arial" w:hAnsi="Arial" w:cs="Arial"/>
          <w:sz w:val="16"/>
          <w:szCs w:val="16"/>
        </w:rPr>
        <w:footnoteRef/>
      </w:r>
      <w:r w:rsidRPr="004C7755">
        <w:rPr>
          <w:rFonts w:ascii="Arial" w:hAnsi="Arial" w:cs="Arial"/>
          <w:sz w:val="16"/>
          <w:szCs w:val="16"/>
        </w:rPr>
        <w:t xml:space="preserve"> </w:t>
      </w:r>
      <w:r w:rsidRPr="007D5822">
        <w:rPr>
          <w:rFonts w:ascii="Arial" w:hAnsi="Arial" w:cs="Arial"/>
          <w:sz w:val="16"/>
          <w:szCs w:val="16"/>
        </w:rPr>
        <w:t>Wypełnić w przypadku projektu realizowanego w partnerstwie. W przypadku, gdy n</w:t>
      </w:r>
      <w:r>
        <w:rPr>
          <w:rFonts w:ascii="Arial" w:hAnsi="Arial" w:cs="Arial"/>
          <w:sz w:val="16"/>
          <w:szCs w:val="16"/>
        </w:rPr>
        <w:t xml:space="preserve">ie są znane konkretne podmioty, </w:t>
      </w:r>
      <w:r w:rsidRPr="007D5822">
        <w:rPr>
          <w:rFonts w:ascii="Arial" w:hAnsi="Arial" w:cs="Arial"/>
          <w:sz w:val="16"/>
          <w:szCs w:val="16"/>
        </w:rPr>
        <w:t>które będą partnerami w</w:t>
      </w:r>
      <w:r w:rsidRPr="00BD4B33">
        <w:rPr>
          <w:rFonts w:ascii="Arial" w:hAnsi="Arial" w:cs="Arial"/>
          <w:sz w:val="16"/>
          <w:szCs w:val="16"/>
        </w:rPr>
        <w:t xml:space="preserve"> projekcie</w:t>
      </w:r>
      <w:r>
        <w:rPr>
          <w:rFonts w:ascii="Arial" w:hAnsi="Arial" w:cs="Arial"/>
          <w:sz w:val="16"/>
          <w:szCs w:val="16"/>
        </w:rPr>
        <w:t>,</w:t>
      </w:r>
      <w:r w:rsidRPr="00BD4B33">
        <w:rPr>
          <w:rFonts w:ascii="Arial" w:hAnsi="Arial" w:cs="Arial"/>
          <w:sz w:val="16"/>
          <w:szCs w:val="16"/>
        </w:rPr>
        <w:t xml:space="preserve"> należy wpisać pożądane cechy partnerów oraz uzasadnić wskazanie określonych cech.</w:t>
      </w:r>
    </w:p>
  </w:footnote>
  <w:footnote w:id="22">
    <w:p w14:paraId="10D11B23" w14:textId="77777777" w:rsidR="0063410A" w:rsidRPr="00B27BC1" w:rsidRDefault="0063410A" w:rsidP="00200F48">
      <w:pPr>
        <w:pStyle w:val="Tekstprzypisudolnego"/>
        <w:jc w:val="both"/>
        <w:rPr>
          <w:rFonts w:ascii="Arial" w:hAnsi="Arial" w:cs="Arial"/>
          <w:sz w:val="16"/>
          <w:szCs w:val="16"/>
        </w:rPr>
      </w:pPr>
      <w:r w:rsidRPr="00C2188C">
        <w:rPr>
          <w:rStyle w:val="Odwoanieprzypisudolnego"/>
          <w:rFonts w:ascii="Arial" w:hAnsi="Arial" w:cs="Arial"/>
          <w:sz w:val="16"/>
          <w:szCs w:val="16"/>
        </w:rPr>
        <w:footnoteRef/>
      </w:r>
      <w:r w:rsidRPr="00C2188C">
        <w:rPr>
          <w:rFonts w:ascii="Arial" w:hAnsi="Arial" w:cs="Arial"/>
          <w:sz w:val="16"/>
          <w:szCs w:val="16"/>
        </w:rPr>
        <w:t xml:space="preserve"> W szczególności w świetle art. 38 ust. 2 i 3 ustawy z dnia 11 lipca 2014 r. </w:t>
      </w:r>
      <w:r w:rsidRPr="00C2188C">
        <w:rPr>
          <w:rFonts w:ascii="Arial" w:hAnsi="Arial" w:cs="Arial"/>
          <w:i/>
          <w:sz w:val="16"/>
          <w:szCs w:val="16"/>
        </w:rPr>
        <w:t>o zasadach realizacji programów w zakresie polityki spójności finansowanych w perspektywie finansowej 2014–2020</w:t>
      </w:r>
      <w:r w:rsidRPr="00C2188C">
        <w:rPr>
          <w:rFonts w:ascii="Arial" w:hAnsi="Arial" w:cs="Arial"/>
          <w:sz w:val="16"/>
          <w:szCs w:val="16"/>
        </w:rPr>
        <w:t xml:space="preserve"> (Dz.U. </w:t>
      </w:r>
      <w:proofErr w:type="gramStart"/>
      <w:r w:rsidRPr="00C2188C">
        <w:rPr>
          <w:rFonts w:ascii="Arial" w:hAnsi="Arial" w:cs="Arial"/>
          <w:sz w:val="16"/>
          <w:szCs w:val="16"/>
        </w:rPr>
        <w:t>z</w:t>
      </w:r>
      <w:proofErr w:type="gramEnd"/>
      <w:r w:rsidRPr="00C2188C">
        <w:rPr>
          <w:rFonts w:ascii="Arial" w:hAnsi="Arial" w:cs="Arial"/>
          <w:sz w:val="16"/>
          <w:szCs w:val="16"/>
        </w:rPr>
        <w:t xml:space="preserve"> 201</w:t>
      </w:r>
      <w:r>
        <w:rPr>
          <w:rFonts w:ascii="Arial" w:hAnsi="Arial" w:cs="Arial"/>
          <w:sz w:val="16"/>
          <w:szCs w:val="16"/>
        </w:rPr>
        <w:t>8</w:t>
      </w:r>
      <w:r w:rsidRPr="00C2188C">
        <w:rPr>
          <w:rFonts w:ascii="Arial" w:hAnsi="Arial" w:cs="Arial"/>
          <w:sz w:val="16"/>
          <w:szCs w:val="16"/>
        </w:rPr>
        <w:t xml:space="preserve"> r. poz. </w:t>
      </w:r>
      <w:r>
        <w:rPr>
          <w:rFonts w:ascii="Arial" w:hAnsi="Arial" w:cs="Arial"/>
          <w:sz w:val="16"/>
          <w:szCs w:val="16"/>
        </w:rPr>
        <w:t>1431,</w:t>
      </w:r>
      <w:r w:rsidRPr="00C2188C">
        <w:rPr>
          <w:rFonts w:ascii="Arial" w:hAnsi="Arial" w:cs="Arial"/>
          <w:sz w:val="16"/>
          <w:szCs w:val="16"/>
        </w:rPr>
        <w:t xml:space="preserve"> z późn. </w:t>
      </w:r>
      <w:proofErr w:type="gramStart"/>
      <w:r w:rsidRPr="00C2188C">
        <w:rPr>
          <w:rFonts w:ascii="Arial" w:hAnsi="Arial" w:cs="Arial"/>
          <w:sz w:val="16"/>
          <w:szCs w:val="16"/>
        </w:rPr>
        <w:t>zm</w:t>
      </w:r>
      <w:proofErr w:type="gramEnd"/>
      <w:r w:rsidRPr="00C2188C">
        <w:rPr>
          <w:rFonts w:ascii="Arial" w:hAnsi="Arial" w:cs="Arial"/>
          <w:sz w:val="16"/>
          <w:szCs w:val="16"/>
        </w:rPr>
        <w:t xml:space="preserve">.) oraz podrozdziału 5.2.1 </w:t>
      </w:r>
      <w:r w:rsidRPr="00C2188C">
        <w:rPr>
          <w:rFonts w:ascii="Arial" w:hAnsi="Arial" w:cs="Arial"/>
          <w:i/>
          <w:sz w:val="16"/>
          <w:szCs w:val="16"/>
        </w:rPr>
        <w:t>Polityka spójności</w:t>
      </w:r>
      <w:r w:rsidRPr="00C2188C">
        <w:rPr>
          <w:rFonts w:ascii="Arial" w:hAnsi="Arial" w:cs="Arial"/>
          <w:sz w:val="16"/>
          <w:szCs w:val="16"/>
        </w:rPr>
        <w:t xml:space="preserve">, rozdziału 5.2 </w:t>
      </w:r>
      <w:r w:rsidRPr="00C2188C">
        <w:rPr>
          <w:rFonts w:ascii="Arial" w:hAnsi="Arial" w:cs="Arial"/>
          <w:i/>
          <w:sz w:val="16"/>
          <w:szCs w:val="16"/>
        </w:rPr>
        <w:t>Zasady wyboru projektów</w:t>
      </w:r>
      <w:r w:rsidRPr="00C2188C" w:rsidDel="00AC6652">
        <w:rPr>
          <w:rFonts w:ascii="Arial" w:hAnsi="Arial" w:cs="Arial"/>
          <w:sz w:val="16"/>
          <w:szCs w:val="16"/>
        </w:rPr>
        <w:t xml:space="preserve"> </w:t>
      </w:r>
      <w:r w:rsidRPr="00C2188C">
        <w:rPr>
          <w:rFonts w:ascii="Arial" w:hAnsi="Arial" w:cs="Arial"/>
          <w:sz w:val="16"/>
          <w:szCs w:val="16"/>
        </w:rPr>
        <w:t>Umowy Partnerstwa</w:t>
      </w:r>
      <w:r>
        <w:rPr>
          <w:rFonts w:ascii="Arial" w:hAnsi="Arial" w:cs="Arial"/>
          <w:sz w:val="16"/>
          <w:szCs w:val="16"/>
        </w:rPr>
        <w:t>.</w:t>
      </w:r>
      <w:r w:rsidRPr="00C2188C">
        <w:rPr>
          <w:rFonts w:ascii="Arial" w:hAnsi="Arial" w:cs="Arial"/>
          <w:sz w:val="16"/>
          <w:szCs w:val="16"/>
        </w:rPr>
        <w:t xml:space="preserve"> </w:t>
      </w:r>
    </w:p>
  </w:footnote>
  <w:footnote w:id="23">
    <w:p w14:paraId="410AC550" w14:textId="77777777" w:rsidR="0063410A" w:rsidRPr="008A2668" w:rsidRDefault="0063410A" w:rsidP="00200F48">
      <w:pPr>
        <w:pStyle w:val="Tekstprzypisudolnego"/>
        <w:jc w:val="both"/>
        <w:rPr>
          <w:rFonts w:ascii="Arial" w:hAnsi="Arial" w:cs="Arial"/>
          <w:sz w:val="16"/>
          <w:szCs w:val="16"/>
        </w:rPr>
      </w:pPr>
      <w:r w:rsidRPr="008A2668">
        <w:rPr>
          <w:rStyle w:val="Odwoanieprzypisudolnego"/>
          <w:rFonts w:ascii="Arial" w:hAnsi="Arial" w:cs="Arial"/>
          <w:sz w:val="16"/>
          <w:szCs w:val="16"/>
        </w:rPr>
        <w:footnoteRef/>
      </w:r>
      <w:r w:rsidRPr="008A2668">
        <w:rPr>
          <w:rFonts w:ascii="Arial" w:hAnsi="Arial" w:cs="Arial"/>
          <w:sz w:val="16"/>
          <w:szCs w:val="16"/>
        </w:rPr>
        <w:t xml:space="preserve"> Rozbicie wartości docelowych na płeć jest nieobowiązkowe – wypełniane w z</w:t>
      </w:r>
      <w:r>
        <w:rPr>
          <w:rFonts w:ascii="Arial" w:hAnsi="Arial" w:cs="Arial"/>
          <w:sz w:val="16"/>
          <w:szCs w:val="16"/>
        </w:rPr>
        <w:t xml:space="preserve">ależności od specyfiki wsparcia i </w:t>
      </w:r>
      <w:r w:rsidRPr="008A2668">
        <w:rPr>
          <w:rFonts w:ascii="Arial" w:hAnsi="Arial" w:cs="Arial"/>
          <w:sz w:val="16"/>
          <w:szCs w:val="16"/>
        </w:rPr>
        <w:t>samego projektu oraz zidentyfikowanego problemu, który projekt ma rozwiązać lub złagodzić.</w:t>
      </w:r>
    </w:p>
  </w:footnote>
  <w:footnote w:id="24">
    <w:p w14:paraId="55405F5C" w14:textId="77777777" w:rsidR="0063410A" w:rsidRDefault="0063410A" w:rsidP="00200F48">
      <w:pPr>
        <w:pStyle w:val="Tekstprzypisudolnego"/>
        <w:jc w:val="both"/>
      </w:pPr>
      <w:r w:rsidRPr="008A2668">
        <w:rPr>
          <w:rStyle w:val="Odwoanieprzypisudolnego"/>
          <w:rFonts w:ascii="Arial" w:hAnsi="Arial" w:cs="Arial"/>
          <w:sz w:val="16"/>
          <w:szCs w:val="16"/>
        </w:rPr>
        <w:footnoteRef/>
      </w:r>
      <w:r w:rsidRPr="008A2668">
        <w:rPr>
          <w:rFonts w:ascii="Arial" w:hAnsi="Arial" w:cs="Arial"/>
          <w:sz w:val="16"/>
          <w:szCs w:val="16"/>
        </w:rPr>
        <w:t xml:space="preserve"> Rozbicie wartości docelowych na płeć jest nieobowiązkowe – wypełniane w z</w:t>
      </w:r>
      <w:r>
        <w:rPr>
          <w:rFonts w:ascii="Arial" w:hAnsi="Arial" w:cs="Arial"/>
          <w:sz w:val="16"/>
          <w:szCs w:val="16"/>
        </w:rPr>
        <w:t xml:space="preserve">ależności od specyfiki wsparcia i </w:t>
      </w:r>
      <w:r w:rsidRPr="008A2668">
        <w:rPr>
          <w:rFonts w:ascii="Arial" w:hAnsi="Arial" w:cs="Arial"/>
          <w:sz w:val="16"/>
          <w:szCs w:val="16"/>
        </w:rPr>
        <w:t>samego projektu oraz zidentyfikowanego problemu, który projekt ma rozwiązać lub złagodzić.</w:t>
      </w:r>
    </w:p>
  </w:footnote>
  <w:footnote w:id="25">
    <w:p w14:paraId="21972956" w14:textId="77777777" w:rsidR="0063410A" w:rsidRPr="00E25443" w:rsidRDefault="0063410A" w:rsidP="00200F48">
      <w:pPr>
        <w:pStyle w:val="Tekstprzypisudolnego"/>
        <w:jc w:val="both"/>
        <w:rPr>
          <w:rFonts w:ascii="Arial" w:hAnsi="Arial" w:cs="Arial"/>
          <w:sz w:val="16"/>
          <w:szCs w:val="16"/>
        </w:rPr>
      </w:pPr>
      <w:r w:rsidRPr="00E25443">
        <w:rPr>
          <w:rStyle w:val="Odwoanieprzypisudolnego"/>
          <w:rFonts w:ascii="Arial" w:hAnsi="Arial" w:cs="Arial"/>
          <w:sz w:val="16"/>
          <w:szCs w:val="16"/>
        </w:rPr>
        <w:footnoteRef/>
      </w:r>
      <w:r w:rsidRPr="00E25443">
        <w:rPr>
          <w:rFonts w:ascii="Arial" w:hAnsi="Arial" w:cs="Arial"/>
          <w:sz w:val="16"/>
          <w:szCs w:val="16"/>
        </w:rPr>
        <w:t xml:space="preserve"> Należy wskazać roboczą nazwę projektu albo skrótowo opisać istotę, zakres przedmiotowy projektu.</w:t>
      </w:r>
    </w:p>
  </w:footnote>
  <w:footnote w:id="26">
    <w:p w14:paraId="3F1984B6" w14:textId="77777777" w:rsidR="0063410A" w:rsidRPr="00EE4DC5" w:rsidRDefault="0063410A" w:rsidP="00200F48">
      <w:pPr>
        <w:pStyle w:val="Tekstprzypisudolnego"/>
        <w:jc w:val="both"/>
        <w:rPr>
          <w:rFonts w:ascii="Arial" w:hAnsi="Arial" w:cs="Arial"/>
          <w:sz w:val="16"/>
          <w:szCs w:val="16"/>
        </w:rPr>
      </w:pPr>
      <w:r w:rsidRPr="00EE4DC5">
        <w:rPr>
          <w:rStyle w:val="Odwoanieprzypisudolnego"/>
          <w:rFonts w:ascii="Arial" w:hAnsi="Arial" w:cs="Arial"/>
          <w:sz w:val="16"/>
          <w:szCs w:val="16"/>
        </w:rPr>
        <w:footnoteRef/>
      </w:r>
      <w:r w:rsidRPr="00EE4DC5">
        <w:rPr>
          <w:rFonts w:ascii="Arial" w:hAnsi="Arial" w:cs="Arial"/>
          <w:sz w:val="16"/>
          <w:szCs w:val="16"/>
        </w:rPr>
        <w:t xml:space="preserve"> Zgodnie z </w:t>
      </w:r>
      <w:r w:rsidRPr="00E25443">
        <w:rPr>
          <w:rFonts w:ascii="Arial" w:hAnsi="Arial" w:cs="Arial"/>
          <w:sz w:val="16"/>
          <w:szCs w:val="16"/>
        </w:rPr>
        <w:t xml:space="preserve">podrozdziałem 5.2.1 </w:t>
      </w:r>
      <w:r w:rsidRPr="00F90E5A">
        <w:rPr>
          <w:rFonts w:ascii="Arial" w:hAnsi="Arial" w:cs="Arial"/>
          <w:i/>
          <w:sz w:val="16"/>
          <w:szCs w:val="16"/>
        </w:rPr>
        <w:t>Polityka spójności</w:t>
      </w:r>
      <w:r w:rsidRPr="00F90E5A">
        <w:rPr>
          <w:rFonts w:ascii="Arial" w:hAnsi="Arial" w:cs="Arial"/>
          <w:sz w:val="16"/>
          <w:szCs w:val="16"/>
        </w:rPr>
        <w:t xml:space="preserve"> rozdziału 5.2 </w:t>
      </w:r>
      <w:r w:rsidRPr="00F90E5A">
        <w:rPr>
          <w:rFonts w:ascii="Arial" w:hAnsi="Arial" w:cs="Arial"/>
          <w:i/>
          <w:sz w:val="16"/>
          <w:szCs w:val="16"/>
        </w:rPr>
        <w:t>Zasady wyboru projektów</w:t>
      </w:r>
      <w:r w:rsidRPr="00F90E5A" w:rsidDel="00AC6652">
        <w:rPr>
          <w:rFonts w:ascii="Arial" w:hAnsi="Arial" w:cs="Arial"/>
          <w:sz w:val="16"/>
          <w:szCs w:val="16"/>
        </w:rPr>
        <w:t xml:space="preserve"> </w:t>
      </w:r>
      <w:r w:rsidRPr="005A2635">
        <w:rPr>
          <w:rFonts w:ascii="Arial" w:hAnsi="Arial" w:cs="Arial"/>
          <w:sz w:val="16"/>
          <w:szCs w:val="16"/>
        </w:rPr>
        <w:t xml:space="preserve">Umowy Partnerstwa z dnia 21 maja 2014 </w:t>
      </w:r>
      <w:r w:rsidRPr="00382508">
        <w:rPr>
          <w:rFonts w:ascii="Arial" w:hAnsi="Arial" w:cs="Arial"/>
          <w:sz w:val="16"/>
          <w:szCs w:val="16"/>
        </w:rPr>
        <w:t>r.</w:t>
      </w:r>
      <w:r w:rsidRPr="00B06E3F">
        <w:rPr>
          <w:rFonts w:ascii="Arial" w:hAnsi="Arial" w:cs="Arial"/>
          <w:sz w:val="16"/>
          <w:szCs w:val="16"/>
        </w:rPr>
        <w:t xml:space="preserve"> przedsięwzięcia o długim horyzoncie</w:t>
      </w:r>
      <w:r w:rsidRPr="006065D7">
        <w:rPr>
          <w:rFonts w:ascii="Arial" w:hAnsi="Arial" w:cs="Arial"/>
          <w:sz w:val="16"/>
          <w:szCs w:val="16"/>
        </w:rPr>
        <w:t xml:space="preserve"> czasowym realizacji muszą być dzielone na krótkie etapy, których realizacja będzie uzależniona od osiągnięcia rezultatów założonych na wcześniejszym etapie (kamieni milowych).</w:t>
      </w:r>
    </w:p>
  </w:footnote>
  <w:footnote w:id="27">
    <w:p w14:paraId="510503FF" w14:textId="77777777" w:rsidR="0063410A" w:rsidRPr="00F90E5A" w:rsidRDefault="0063410A" w:rsidP="00200F48">
      <w:pPr>
        <w:pStyle w:val="Tekstprzypisudolnego"/>
        <w:jc w:val="both"/>
        <w:rPr>
          <w:rFonts w:ascii="Arial" w:hAnsi="Arial" w:cs="Arial"/>
          <w:sz w:val="16"/>
          <w:szCs w:val="16"/>
        </w:rPr>
      </w:pPr>
      <w:r w:rsidRPr="00E25443">
        <w:rPr>
          <w:rStyle w:val="Odwoanieprzypisudolnego"/>
          <w:rFonts w:ascii="Arial" w:hAnsi="Arial" w:cs="Arial"/>
          <w:sz w:val="16"/>
          <w:szCs w:val="16"/>
        </w:rPr>
        <w:footnoteRef/>
      </w:r>
      <w:r w:rsidRPr="00E25443">
        <w:rPr>
          <w:rFonts w:ascii="Arial" w:hAnsi="Arial" w:cs="Arial"/>
          <w:sz w:val="16"/>
          <w:szCs w:val="16"/>
        </w:rPr>
        <w:t xml:space="preserve"> W przypadku opracowywania Rocznego Planu Działania przez IP, podmiotem zgłaszającym projekt jest IP. W przypadku opracowywania Rocznego Planu Działania przez IZ należy</w:t>
      </w:r>
      <w:r w:rsidRPr="00F90E5A">
        <w:rPr>
          <w:rFonts w:ascii="Arial" w:hAnsi="Arial" w:cs="Arial"/>
          <w:sz w:val="16"/>
          <w:szCs w:val="16"/>
        </w:rPr>
        <w:t xml:space="preserve"> wpisać nazwę podmiotu, który zgłosił projekt do IZ. </w:t>
      </w:r>
    </w:p>
  </w:footnote>
  <w:footnote w:id="28">
    <w:p w14:paraId="48772B39" w14:textId="77777777" w:rsidR="0063410A" w:rsidRPr="004C7755" w:rsidRDefault="0063410A" w:rsidP="00200F48">
      <w:pPr>
        <w:pStyle w:val="Tekstprzypisudolnego"/>
        <w:jc w:val="both"/>
        <w:rPr>
          <w:rFonts w:ascii="Arial" w:hAnsi="Arial" w:cs="Arial"/>
          <w:sz w:val="16"/>
          <w:szCs w:val="16"/>
        </w:rPr>
      </w:pPr>
      <w:r w:rsidRPr="00E25443">
        <w:rPr>
          <w:rStyle w:val="Odwoanieprzypisudolnego"/>
          <w:rFonts w:ascii="Arial" w:hAnsi="Arial" w:cs="Arial"/>
          <w:sz w:val="16"/>
          <w:szCs w:val="16"/>
        </w:rPr>
        <w:footnoteRef/>
      </w:r>
      <w:r w:rsidRPr="00E25443">
        <w:rPr>
          <w:rFonts w:ascii="Arial" w:hAnsi="Arial" w:cs="Arial"/>
          <w:sz w:val="16"/>
          <w:szCs w:val="16"/>
        </w:rPr>
        <w:t xml:space="preserve"> W szczególności w świetle art. 38 ust. 2 i 3 ustawy z dnia 11 lipca 2014 r. </w:t>
      </w:r>
      <w:r w:rsidRPr="00EE4DC5">
        <w:rPr>
          <w:rFonts w:ascii="Arial" w:hAnsi="Arial" w:cs="Arial"/>
          <w:i/>
          <w:sz w:val="16"/>
          <w:szCs w:val="16"/>
        </w:rPr>
        <w:t>o zasadach realizacji programów w zakresie polityki spójności finansowanych w perspektywie finansowej 2014–2020</w:t>
      </w:r>
      <w:r>
        <w:rPr>
          <w:rFonts w:ascii="Arial" w:hAnsi="Arial" w:cs="Arial"/>
          <w:sz w:val="16"/>
          <w:szCs w:val="16"/>
        </w:rPr>
        <w:t xml:space="preserve"> (Dz.</w:t>
      </w:r>
      <w:r w:rsidRPr="00F90E5A">
        <w:rPr>
          <w:rFonts w:ascii="Arial" w:hAnsi="Arial" w:cs="Arial"/>
          <w:sz w:val="16"/>
          <w:szCs w:val="16"/>
        </w:rPr>
        <w:t xml:space="preserve">U. </w:t>
      </w:r>
      <w:proofErr w:type="gramStart"/>
      <w:r>
        <w:rPr>
          <w:rFonts w:ascii="Arial" w:hAnsi="Arial" w:cs="Arial"/>
          <w:sz w:val="16"/>
          <w:szCs w:val="16"/>
        </w:rPr>
        <w:t>z</w:t>
      </w:r>
      <w:proofErr w:type="gramEnd"/>
      <w:r>
        <w:rPr>
          <w:rFonts w:ascii="Arial" w:hAnsi="Arial" w:cs="Arial"/>
          <w:sz w:val="16"/>
          <w:szCs w:val="16"/>
        </w:rPr>
        <w:t xml:space="preserve"> 2016 r. poz. 217)</w:t>
      </w:r>
      <w:r w:rsidRPr="00F90E5A">
        <w:rPr>
          <w:rFonts w:ascii="Arial" w:hAnsi="Arial" w:cs="Arial"/>
          <w:sz w:val="16"/>
          <w:szCs w:val="16"/>
        </w:rPr>
        <w:t xml:space="preserve"> oraz podrozdziału 5.2.1 </w:t>
      </w:r>
      <w:r w:rsidRPr="00F90E5A">
        <w:rPr>
          <w:rFonts w:ascii="Arial" w:hAnsi="Arial" w:cs="Arial"/>
          <w:i/>
          <w:sz w:val="16"/>
          <w:szCs w:val="16"/>
        </w:rPr>
        <w:t>Polityka spójności</w:t>
      </w:r>
      <w:r w:rsidRPr="00F90E5A">
        <w:rPr>
          <w:rFonts w:ascii="Arial" w:hAnsi="Arial" w:cs="Arial"/>
          <w:sz w:val="16"/>
          <w:szCs w:val="16"/>
        </w:rPr>
        <w:t xml:space="preserve">, rozdziału 5.2 </w:t>
      </w:r>
      <w:r w:rsidRPr="00F90E5A">
        <w:rPr>
          <w:rFonts w:ascii="Arial" w:hAnsi="Arial" w:cs="Arial"/>
          <w:i/>
          <w:sz w:val="16"/>
          <w:szCs w:val="16"/>
        </w:rPr>
        <w:t>Zasady wyboru projektów</w:t>
      </w:r>
      <w:r w:rsidRPr="00F90E5A" w:rsidDel="00AC6652">
        <w:rPr>
          <w:rFonts w:ascii="Arial" w:hAnsi="Arial" w:cs="Arial"/>
          <w:sz w:val="16"/>
          <w:szCs w:val="16"/>
        </w:rPr>
        <w:t xml:space="preserve"> </w:t>
      </w:r>
      <w:r w:rsidRPr="005A2635">
        <w:rPr>
          <w:rFonts w:ascii="Arial" w:hAnsi="Arial" w:cs="Arial"/>
          <w:sz w:val="16"/>
          <w:szCs w:val="16"/>
        </w:rPr>
        <w:t>Umowy Partnerstwa z dnia 21 maja 2014 r.</w:t>
      </w:r>
    </w:p>
  </w:footnote>
  <w:footnote w:id="29">
    <w:p w14:paraId="1EC1FE87" w14:textId="77777777" w:rsidR="0063410A" w:rsidRDefault="0063410A" w:rsidP="00200F48">
      <w:pPr>
        <w:pStyle w:val="Tekstprzypisudolnego"/>
        <w:jc w:val="both"/>
      </w:pPr>
      <w:r w:rsidRPr="004C7755">
        <w:rPr>
          <w:rStyle w:val="Odwoanieprzypisudolnego"/>
          <w:rFonts w:ascii="Arial" w:hAnsi="Arial" w:cs="Arial"/>
          <w:sz w:val="16"/>
          <w:szCs w:val="16"/>
        </w:rPr>
        <w:footnoteRef/>
      </w:r>
      <w:r w:rsidRPr="004C7755">
        <w:rPr>
          <w:rFonts w:ascii="Arial" w:hAnsi="Arial" w:cs="Arial"/>
          <w:sz w:val="16"/>
          <w:szCs w:val="16"/>
        </w:rPr>
        <w:t xml:space="preserve"> </w:t>
      </w:r>
      <w:r w:rsidRPr="007D5822">
        <w:rPr>
          <w:rFonts w:ascii="Arial" w:hAnsi="Arial" w:cs="Arial"/>
          <w:sz w:val="16"/>
          <w:szCs w:val="16"/>
        </w:rPr>
        <w:t>Wypełnić w przypadku projektu realizowanego w partnerstwie. W przypadku, gdy n</w:t>
      </w:r>
      <w:r>
        <w:rPr>
          <w:rFonts w:ascii="Arial" w:hAnsi="Arial" w:cs="Arial"/>
          <w:sz w:val="16"/>
          <w:szCs w:val="16"/>
        </w:rPr>
        <w:t xml:space="preserve">ie są znane konkretne podmioty, </w:t>
      </w:r>
      <w:r w:rsidRPr="007D5822">
        <w:rPr>
          <w:rFonts w:ascii="Arial" w:hAnsi="Arial" w:cs="Arial"/>
          <w:sz w:val="16"/>
          <w:szCs w:val="16"/>
        </w:rPr>
        <w:t>które będą partnerami w</w:t>
      </w:r>
      <w:r w:rsidRPr="00BD4B33">
        <w:rPr>
          <w:rFonts w:ascii="Arial" w:hAnsi="Arial" w:cs="Arial"/>
          <w:sz w:val="16"/>
          <w:szCs w:val="16"/>
        </w:rPr>
        <w:t xml:space="preserve"> projekcie</w:t>
      </w:r>
      <w:r>
        <w:rPr>
          <w:rFonts w:ascii="Arial" w:hAnsi="Arial" w:cs="Arial"/>
          <w:sz w:val="16"/>
          <w:szCs w:val="16"/>
        </w:rPr>
        <w:t>,</w:t>
      </w:r>
      <w:r w:rsidRPr="00BD4B33">
        <w:rPr>
          <w:rFonts w:ascii="Arial" w:hAnsi="Arial" w:cs="Arial"/>
          <w:sz w:val="16"/>
          <w:szCs w:val="16"/>
        </w:rPr>
        <w:t xml:space="preserve"> należy wpisać pożądane cechy partnerów oraz uzasadnić wskazanie określonych cech.</w:t>
      </w:r>
    </w:p>
  </w:footnote>
  <w:footnote w:id="30">
    <w:p w14:paraId="134E4C33" w14:textId="77777777" w:rsidR="0063410A" w:rsidRPr="00B27BC1" w:rsidRDefault="0063410A" w:rsidP="00200F48">
      <w:pPr>
        <w:pStyle w:val="Tekstprzypisudolnego"/>
        <w:jc w:val="both"/>
        <w:rPr>
          <w:rFonts w:ascii="Arial" w:hAnsi="Arial" w:cs="Arial"/>
          <w:sz w:val="16"/>
          <w:szCs w:val="16"/>
        </w:rPr>
      </w:pPr>
      <w:r w:rsidRPr="00B27BC1">
        <w:rPr>
          <w:rStyle w:val="Odwoanieprzypisudolnego"/>
          <w:rFonts w:ascii="Arial" w:hAnsi="Arial" w:cs="Arial"/>
          <w:sz w:val="16"/>
          <w:szCs w:val="16"/>
        </w:rPr>
        <w:footnoteRef/>
      </w:r>
      <w:r w:rsidRPr="00B27BC1">
        <w:rPr>
          <w:rFonts w:ascii="Arial" w:hAnsi="Arial" w:cs="Arial"/>
          <w:sz w:val="16"/>
          <w:szCs w:val="16"/>
        </w:rPr>
        <w:t xml:space="preserve"> W szczególności w świetle </w:t>
      </w:r>
      <w:r>
        <w:rPr>
          <w:rFonts w:ascii="Arial" w:hAnsi="Arial" w:cs="Arial"/>
          <w:sz w:val="16"/>
          <w:szCs w:val="16"/>
        </w:rPr>
        <w:t>art. 38 ust. 2 i 3</w:t>
      </w:r>
      <w:r w:rsidRPr="00B27BC1">
        <w:rPr>
          <w:rFonts w:ascii="Arial" w:hAnsi="Arial" w:cs="Arial"/>
          <w:sz w:val="16"/>
          <w:szCs w:val="16"/>
        </w:rPr>
        <w:t xml:space="preserve"> ustawy z dnia 11 lipca 2014 r. </w:t>
      </w:r>
      <w:r w:rsidRPr="00EE4DC5">
        <w:rPr>
          <w:rFonts w:ascii="Arial" w:hAnsi="Arial" w:cs="Arial"/>
          <w:i/>
          <w:sz w:val="16"/>
          <w:szCs w:val="16"/>
        </w:rPr>
        <w:t>o zasadach realizacji programów w zakresie polityki spójności finansowanych w perspektywie finansowej 2014–2020</w:t>
      </w:r>
      <w:r>
        <w:rPr>
          <w:rFonts w:ascii="Arial" w:hAnsi="Arial" w:cs="Arial"/>
          <w:sz w:val="16"/>
          <w:szCs w:val="16"/>
        </w:rPr>
        <w:t xml:space="preserve"> (Dz.</w:t>
      </w:r>
      <w:r w:rsidRPr="00F90E5A">
        <w:rPr>
          <w:rFonts w:ascii="Arial" w:hAnsi="Arial" w:cs="Arial"/>
          <w:sz w:val="16"/>
          <w:szCs w:val="16"/>
        </w:rPr>
        <w:t xml:space="preserve">U. </w:t>
      </w:r>
      <w:proofErr w:type="gramStart"/>
      <w:r>
        <w:rPr>
          <w:rFonts w:ascii="Arial" w:hAnsi="Arial" w:cs="Arial"/>
          <w:sz w:val="16"/>
          <w:szCs w:val="16"/>
        </w:rPr>
        <w:t>z</w:t>
      </w:r>
      <w:proofErr w:type="gramEnd"/>
      <w:r>
        <w:rPr>
          <w:rFonts w:ascii="Arial" w:hAnsi="Arial" w:cs="Arial"/>
          <w:sz w:val="16"/>
          <w:szCs w:val="16"/>
        </w:rPr>
        <w:t xml:space="preserve"> 2016 r. poz. 217)</w:t>
      </w:r>
      <w:r w:rsidRPr="00F90E5A">
        <w:rPr>
          <w:rFonts w:ascii="Arial" w:hAnsi="Arial" w:cs="Arial"/>
          <w:sz w:val="16"/>
          <w:szCs w:val="16"/>
        </w:rPr>
        <w:t xml:space="preserve"> </w:t>
      </w:r>
      <w:r w:rsidRPr="00B27BC1">
        <w:rPr>
          <w:rFonts w:ascii="Arial" w:hAnsi="Arial" w:cs="Arial"/>
          <w:sz w:val="16"/>
          <w:szCs w:val="16"/>
        </w:rPr>
        <w:t xml:space="preserve">oraz </w:t>
      </w:r>
      <w:r w:rsidRPr="004C7755">
        <w:rPr>
          <w:rFonts w:ascii="Arial" w:hAnsi="Arial" w:cs="Arial"/>
          <w:sz w:val="16"/>
          <w:szCs w:val="16"/>
        </w:rPr>
        <w:t xml:space="preserve">podrozdziału 5.2.1 </w:t>
      </w:r>
      <w:r w:rsidRPr="004C7755">
        <w:rPr>
          <w:rFonts w:ascii="Arial" w:hAnsi="Arial" w:cs="Arial"/>
          <w:i/>
          <w:sz w:val="16"/>
          <w:szCs w:val="16"/>
        </w:rPr>
        <w:t>Polityka spójności</w:t>
      </w:r>
      <w:r>
        <w:rPr>
          <w:rFonts w:ascii="Arial" w:hAnsi="Arial" w:cs="Arial"/>
          <w:sz w:val="16"/>
          <w:szCs w:val="16"/>
        </w:rPr>
        <w:t xml:space="preserve">, </w:t>
      </w:r>
      <w:r w:rsidRPr="004C7755">
        <w:rPr>
          <w:rFonts w:ascii="Arial" w:hAnsi="Arial" w:cs="Arial"/>
          <w:sz w:val="16"/>
          <w:szCs w:val="16"/>
        </w:rPr>
        <w:t xml:space="preserve">rozdziału 5.2 </w:t>
      </w:r>
      <w:r w:rsidRPr="004C7755">
        <w:rPr>
          <w:rFonts w:ascii="Arial" w:hAnsi="Arial" w:cs="Arial"/>
          <w:i/>
          <w:sz w:val="16"/>
          <w:szCs w:val="16"/>
        </w:rPr>
        <w:t>Zasady wyboru projektów</w:t>
      </w:r>
      <w:r w:rsidDel="00AC6652">
        <w:rPr>
          <w:rFonts w:ascii="Arial" w:hAnsi="Arial" w:cs="Arial"/>
          <w:sz w:val="16"/>
          <w:szCs w:val="16"/>
        </w:rPr>
        <w:t xml:space="preserve"> </w:t>
      </w:r>
      <w:r w:rsidRPr="00B27BC1">
        <w:rPr>
          <w:rFonts w:ascii="Arial" w:hAnsi="Arial" w:cs="Arial"/>
          <w:sz w:val="16"/>
          <w:szCs w:val="16"/>
        </w:rPr>
        <w:t xml:space="preserve">Umowy Partnerstwa z dnia 21 maja 2014 r. </w:t>
      </w:r>
    </w:p>
  </w:footnote>
  <w:footnote w:id="31">
    <w:p w14:paraId="3DCDFB1F" w14:textId="77777777" w:rsidR="0063410A" w:rsidRPr="008A2668" w:rsidRDefault="0063410A" w:rsidP="00200F48">
      <w:pPr>
        <w:pStyle w:val="Tekstprzypisudolnego"/>
        <w:jc w:val="both"/>
        <w:rPr>
          <w:rFonts w:ascii="Arial" w:hAnsi="Arial" w:cs="Arial"/>
          <w:sz w:val="16"/>
          <w:szCs w:val="16"/>
        </w:rPr>
      </w:pPr>
      <w:r w:rsidRPr="008A2668">
        <w:rPr>
          <w:rStyle w:val="Odwoanieprzypisudolnego"/>
          <w:rFonts w:ascii="Arial" w:hAnsi="Arial" w:cs="Arial"/>
          <w:sz w:val="16"/>
          <w:szCs w:val="16"/>
        </w:rPr>
        <w:footnoteRef/>
      </w:r>
      <w:r w:rsidRPr="008A2668">
        <w:rPr>
          <w:rFonts w:ascii="Arial" w:hAnsi="Arial" w:cs="Arial"/>
          <w:sz w:val="16"/>
          <w:szCs w:val="16"/>
        </w:rPr>
        <w:t xml:space="preserve"> Rozbicie wartości docelowych na płeć jest nieobowiązkowe – wypełniane w z</w:t>
      </w:r>
      <w:r>
        <w:rPr>
          <w:rFonts w:ascii="Arial" w:hAnsi="Arial" w:cs="Arial"/>
          <w:sz w:val="16"/>
          <w:szCs w:val="16"/>
        </w:rPr>
        <w:t xml:space="preserve">ależności od specyfiki wsparcia i </w:t>
      </w:r>
      <w:r w:rsidRPr="008A2668">
        <w:rPr>
          <w:rFonts w:ascii="Arial" w:hAnsi="Arial" w:cs="Arial"/>
          <w:sz w:val="16"/>
          <w:szCs w:val="16"/>
        </w:rPr>
        <w:t>samego projektu oraz zidentyfikowanego problemu, który projekt ma rozwiązać lub złagodzić.</w:t>
      </w:r>
    </w:p>
  </w:footnote>
  <w:footnote w:id="32">
    <w:p w14:paraId="2227AFC0" w14:textId="77777777" w:rsidR="0063410A" w:rsidRDefault="0063410A" w:rsidP="00200F48">
      <w:pPr>
        <w:pStyle w:val="Tekstprzypisudolnego"/>
        <w:jc w:val="both"/>
      </w:pPr>
      <w:r w:rsidRPr="008A2668">
        <w:rPr>
          <w:rStyle w:val="Odwoanieprzypisudolnego"/>
          <w:rFonts w:ascii="Arial" w:hAnsi="Arial" w:cs="Arial"/>
          <w:sz w:val="16"/>
          <w:szCs w:val="16"/>
        </w:rPr>
        <w:footnoteRef/>
      </w:r>
      <w:r w:rsidRPr="008A2668">
        <w:rPr>
          <w:rFonts w:ascii="Arial" w:hAnsi="Arial" w:cs="Arial"/>
          <w:sz w:val="16"/>
          <w:szCs w:val="16"/>
        </w:rPr>
        <w:t xml:space="preserve"> Rozbicie wartości docelowych na płeć jest nieobowiązkowe – wypełniane w z</w:t>
      </w:r>
      <w:r>
        <w:rPr>
          <w:rFonts w:ascii="Arial" w:hAnsi="Arial" w:cs="Arial"/>
          <w:sz w:val="16"/>
          <w:szCs w:val="16"/>
        </w:rPr>
        <w:t xml:space="preserve">ależności od specyfiki wsparcia i </w:t>
      </w:r>
      <w:r w:rsidRPr="008A2668">
        <w:rPr>
          <w:rFonts w:ascii="Arial" w:hAnsi="Arial" w:cs="Arial"/>
          <w:sz w:val="16"/>
          <w:szCs w:val="16"/>
        </w:rPr>
        <w:t>samego projektu oraz zidentyfikowanego problemu, który projekt ma rozwiązać lub złagodzić.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6C1B5" w14:textId="77777777" w:rsidR="0063410A" w:rsidRPr="0058301A" w:rsidRDefault="0063410A" w:rsidP="0058301A">
    <w:pPr>
      <w:pStyle w:val="Nagwek"/>
      <w:spacing w:before="120" w:after="120" w:line="240" w:lineRule="atLeas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1E123" w14:textId="77777777" w:rsidR="0063410A" w:rsidRPr="00D67239" w:rsidRDefault="0063410A" w:rsidP="00D67239">
    <w:pPr>
      <w:pStyle w:val="Nagwek"/>
      <w:spacing w:before="120" w:after="120" w:line="240" w:lineRule="atLeast"/>
      <w:rPr>
        <w:rFonts w:ascii="Arial" w:hAnsi="Arial" w:cs="Arial"/>
      </w:rPr>
    </w:pPr>
    <w:r>
      <w:rPr>
        <w:rFonts w:ascii="Arial" w:hAnsi="Arial" w:cs="Arial"/>
        <w:noProof/>
        <w:lang w:eastAsia="pl-PL"/>
      </w:rPr>
      <w:drawing>
        <wp:inline distT="0" distB="0" distL="0" distR="0" wp14:anchorId="73080751" wp14:editId="160DA39E">
          <wp:extent cx="5753100" cy="571500"/>
          <wp:effectExtent l="0" t="0" r="0" b="0"/>
          <wp:docPr id="12" name="Obraz 12" descr="Zestawienie logotypów: Fundusze Europejskiekie Wiedza Edukacja Rozwój, Rzeczpospolita Polska, Ministerstwo Funduszy i Polityki Regionalnej, Unia Europejska Europejski Fundusz Społeczny."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PO WER\Promocja\Logotypy\FE_RP_MFiPR_UE_poziom_p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
    <w:nsid w:val="0A2E4416"/>
    <w:multiLevelType w:val="hybridMultilevel"/>
    <w:tmpl w:val="165C1ACA"/>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2">
    <w:nsid w:val="0C611302"/>
    <w:multiLevelType w:val="hybridMultilevel"/>
    <w:tmpl w:val="158E3CDA"/>
    <w:lvl w:ilvl="0" w:tplc="090C62C4">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DD0D73"/>
    <w:multiLevelType w:val="hybridMultilevel"/>
    <w:tmpl w:val="7EB8B966"/>
    <w:lvl w:ilvl="0" w:tplc="BFFCA104">
      <w:start w:val="1"/>
      <w:numFmt w:val="upperRoman"/>
      <w:lvlText w:val="%1."/>
      <w:lvlJc w:val="right"/>
      <w:pPr>
        <w:ind w:left="754" w:hanging="360"/>
      </w:pPr>
      <w:rPr>
        <w:b/>
      </w:rPr>
    </w:lvl>
    <w:lvl w:ilvl="1" w:tplc="04150019">
      <w:start w:val="1"/>
      <w:numFmt w:val="lowerLetter"/>
      <w:lvlText w:val="%2."/>
      <w:lvlJc w:val="left"/>
      <w:pPr>
        <w:ind w:left="1474" w:hanging="360"/>
      </w:pPr>
    </w:lvl>
    <w:lvl w:ilvl="2" w:tplc="0415001B">
      <w:start w:val="1"/>
      <w:numFmt w:val="lowerRoman"/>
      <w:lvlText w:val="%3."/>
      <w:lvlJc w:val="right"/>
      <w:pPr>
        <w:ind w:left="2194" w:hanging="180"/>
      </w:pPr>
    </w:lvl>
    <w:lvl w:ilvl="3" w:tplc="0415000F">
      <w:start w:val="1"/>
      <w:numFmt w:val="decimal"/>
      <w:lvlText w:val="%4."/>
      <w:lvlJc w:val="left"/>
      <w:pPr>
        <w:ind w:left="2914" w:hanging="360"/>
      </w:pPr>
    </w:lvl>
    <w:lvl w:ilvl="4" w:tplc="04150019">
      <w:start w:val="1"/>
      <w:numFmt w:val="lowerLetter"/>
      <w:lvlText w:val="%5."/>
      <w:lvlJc w:val="left"/>
      <w:pPr>
        <w:ind w:left="3634" w:hanging="360"/>
      </w:pPr>
    </w:lvl>
    <w:lvl w:ilvl="5" w:tplc="0415001B">
      <w:start w:val="1"/>
      <w:numFmt w:val="lowerRoman"/>
      <w:lvlText w:val="%6."/>
      <w:lvlJc w:val="right"/>
      <w:pPr>
        <w:ind w:left="4354" w:hanging="180"/>
      </w:pPr>
    </w:lvl>
    <w:lvl w:ilvl="6" w:tplc="0415000F">
      <w:start w:val="1"/>
      <w:numFmt w:val="decimal"/>
      <w:lvlText w:val="%7."/>
      <w:lvlJc w:val="left"/>
      <w:pPr>
        <w:ind w:left="5074" w:hanging="360"/>
      </w:pPr>
    </w:lvl>
    <w:lvl w:ilvl="7" w:tplc="04150019">
      <w:start w:val="1"/>
      <w:numFmt w:val="lowerLetter"/>
      <w:lvlText w:val="%8."/>
      <w:lvlJc w:val="left"/>
      <w:pPr>
        <w:ind w:left="5794" w:hanging="360"/>
      </w:pPr>
    </w:lvl>
    <w:lvl w:ilvl="8" w:tplc="0415001B">
      <w:start w:val="1"/>
      <w:numFmt w:val="lowerRoman"/>
      <w:lvlText w:val="%9."/>
      <w:lvlJc w:val="right"/>
      <w:pPr>
        <w:ind w:left="6514" w:hanging="180"/>
      </w:pPr>
    </w:lvl>
  </w:abstractNum>
  <w:abstractNum w:abstractNumId="4">
    <w:nsid w:val="10646FE2"/>
    <w:multiLevelType w:val="hybridMultilevel"/>
    <w:tmpl w:val="E6307B54"/>
    <w:lvl w:ilvl="0" w:tplc="EA02DD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2156703"/>
    <w:multiLevelType w:val="hybridMultilevel"/>
    <w:tmpl w:val="D6FC19DE"/>
    <w:lvl w:ilvl="0" w:tplc="99D4D6F0">
      <w:start w:val="1"/>
      <w:numFmt w:val="decimal"/>
      <w:lvlText w:val="%1."/>
      <w:lvlJc w:val="left"/>
      <w:pPr>
        <w:ind w:left="644"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6C256CF"/>
    <w:multiLevelType w:val="hybridMultilevel"/>
    <w:tmpl w:val="21144E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072274"/>
    <w:multiLevelType w:val="hybridMultilevel"/>
    <w:tmpl w:val="D3DAD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446A31"/>
    <w:multiLevelType w:val="hybridMultilevel"/>
    <w:tmpl w:val="C6E28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A13031"/>
    <w:multiLevelType w:val="hybridMultilevel"/>
    <w:tmpl w:val="98406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82117C"/>
    <w:multiLevelType w:val="hybridMultilevel"/>
    <w:tmpl w:val="0A944108"/>
    <w:lvl w:ilvl="0" w:tplc="E50CBD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232579"/>
    <w:multiLevelType w:val="hybridMultilevel"/>
    <w:tmpl w:val="2FE261A2"/>
    <w:lvl w:ilvl="0" w:tplc="32D8ED4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9E5E32"/>
    <w:multiLevelType w:val="hybridMultilevel"/>
    <w:tmpl w:val="0298F84A"/>
    <w:lvl w:ilvl="0" w:tplc="EA02D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A20BF9"/>
    <w:multiLevelType w:val="hybridMultilevel"/>
    <w:tmpl w:val="A47A76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2289"/>
    <w:multiLevelType w:val="hybridMultilevel"/>
    <w:tmpl w:val="2B68BE90"/>
    <w:lvl w:ilvl="0" w:tplc="206E8F96">
      <w:start w:val="1"/>
      <w:numFmt w:val="upperLetter"/>
      <w:lvlText w:val="%1."/>
      <w:lvlJc w:val="left"/>
      <w:pPr>
        <w:ind w:left="1352" w:hanging="360"/>
      </w:pPr>
      <w:rPr>
        <w:b w:val="0"/>
        <w:bCs w:val="0"/>
        <w:i w:val="0"/>
        <w:iCs w:val="0"/>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8">
    <w:nsid w:val="37823A31"/>
    <w:multiLevelType w:val="hybridMultilevel"/>
    <w:tmpl w:val="835CFE8A"/>
    <w:lvl w:ilvl="0" w:tplc="87C641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890C53"/>
    <w:multiLevelType w:val="hybridMultilevel"/>
    <w:tmpl w:val="17DE1AD0"/>
    <w:lvl w:ilvl="0" w:tplc="04150017">
      <w:start w:val="1"/>
      <w:numFmt w:val="lowerLetter"/>
      <w:lvlText w:val="%1)"/>
      <w:lvlJc w:val="left"/>
      <w:pPr>
        <w:tabs>
          <w:tab w:val="num" w:pos="1500"/>
        </w:tabs>
        <w:ind w:left="1500" w:hanging="360"/>
      </w:pPr>
      <w:rPr>
        <w:rFonts w:hint="default"/>
      </w:rPr>
    </w:lvl>
    <w:lvl w:ilvl="1" w:tplc="2E3AB46E">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
    <w:nsid w:val="47460E91"/>
    <w:multiLevelType w:val="hybridMultilevel"/>
    <w:tmpl w:val="0D2474EA"/>
    <w:lvl w:ilvl="0" w:tplc="EA02D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AC090E"/>
    <w:multiLevelType w:val="hybridMultilevel"/>
    <w:tmpl w:val="8676C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6C4246"/>
    <w:multiLevelType w:val="hybridMultilevel"/>
    <w:tmpl w:val="D3B46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2211163"/>
    <w:multiLevelType w:val="hybridMultilevel"/>
    <w:tmpl w:val="A3128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EE9564B"/>
    <w:multiLevelType w:val="hybridMultilevel"/>
    <w:tmpl w:val="4754E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B71F7A"/>
    <w:multiLevelType w:val="hybridMultilevel"/>
    <w:tmpl w:val="3378D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271C23"/>
    <w:multiLevelType w:val="hybridMultilevel"/>
    <w:tmpl w:val="45FAFB96"/>
    <w:lvl w:ilvl="0" w:tplc="E50CBD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34101AF"/>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36149F4"/>
    <w:multiLevelType w:val="hybridMultilevel"/>
    <w:tmpl w:val="2496F48E"/>
    <w:lvl w:ilvl="0" w:tplc="66368DFA">
      <w:start w:val="1"/>
      <w:numFmt w:val="decimal"/>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31">
    <w:nsid w:val="66940D9B"/>
    <w:multiLevelType w:val="hybridMultilevel"/>
    <w:tmpl w:val="2D403436"/>
    <w:lvl w:ilvl="0" w:tplc="EA02DD86">
      <w:start w:val="1"/>
      <w:numFmt w:val="bullet"/>
      <w:lvlText w:val=""/>
      <w:lvlJc w:val="left"/>
      <w:pPr>
        <w:ind w:left="1044" w:hanging="360"/>
      </w:pPr>
      <w:rPr>
        <w:rFonts w:ascii="Symbol" w:hAnsi="Symbol"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32">
    <w:nsid w:val="69F24273"/>
    <w:multiLevelType w:val="hybridMultilevel"/>
    <w:tmpl w:val="FE34A7A4"/>
    <w:lvl w:ilvl="0" w:tplc="E50CBD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F321292"/>
    <w:multiLevelType w:val="hybridMultilevel"/>
    <w:tmpl w:val="46187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362EA5"/>
    <w:multiLevelType w:val="hybridMultilevel"/>
    <w:tmpl w:val="37C00A2E"/>
    <w:lvl w:ilvl="0" w:tplc="DD26B048">
      <w:start w:val="1"/>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540E8F"/>
    <w:multiLevelType w:val="hybridMultilevel"/>
    <w:tmpl w:val="2FE261A2"/>
    <w:lvl w:ilvl="0" w:tplc="32D8ED4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C80C21"/>
    <w:multiLevelType w:val="hybridMultilevel"/>
    <w:tmpl w:val="90080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C51110F"/>
    <w:multiLevelType w:val="hybridMultilevel"/>
    <w:tmpl w:val="2FE261A2"/>
    <w:lvl w:ilvl="0" w:tplc="32D8ED4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3C0E87"/>
    <w:multiLevelType w:val="hybridMultilevel"/>
    <w:tmpl w:val="946EC794"/>
    <w:lvl w:ilvl="0" w:tplc="FF948E0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num w:numId="1">
    <w:abstractNumId w:val="2"/>
  </w:num>
  <w:num w:numId="2">
    <w:abstractNumId w:val="33"/>
  </w:num>
  <w:num w:numId="3">
    <w:abstractNumId w:val="24"/>
  </w:num>
  <w:num w:numId="4">
    <w:abstractNumId w:val="18"/>
  </w:num>
  <w:num w:numId="5">
    <w:abstractNumId w:val="19"/>
  </w:num>
  <w:num w:numId="6">
    <w:abstractNumId w:val="11"/>
  </w:num>
  <w:num w:numId="7">
    <w:abstractNumId w:val="8"/>
  </w:num>
  <w:num w:numId="8">
    <w:abstractNumId w:val="34"/>
  </w:num>
  <w:num w:numId="9">
    <w:abstractNumId w:val="9"/>
  </w:num>
  <w:num w:numId="10">
    <w:abstractNumId w:val="16"/>
  </w:num>
  <w:num w:numId="11">
    <w:abstractNumId w:val="29"/>
  </w:num>
  <w:num w:numId="12">
    <w:abstractNumId w:val="25"/>
  </w:num>
  <w:num w:numId="13">
    <w:abstractNumId w:val="0"/>
  </w:num>
  <w:num w:numId="14">
    <w:abstractNumId w:val="37"/>
  </w:num>
  <w:num w:numId="15">
    <w:abstractNumId w:val="35"/>
  </w:num>
  <w:num w:numId="16">
    <w:abstractNumId w:val="14"/>
  </w:num>
  <w:num w:numId="17">
    <w:abstractNumId w:val="26"/>
  </w:num>
  <w:num w:numId="18">
    <w:abstractNumId w:val="12"/>
  </w:num>
  <w:num w:numId="19">
    <w:abstractNumId w:val="1"/>
  </w:num>
  <w:num w:numId="20">
    <w:abstractNumId w:val="3"/>
  </w:num>
  <w:num w:numId="21">
    <w:abstractNumId w:val="30"/>
  </w:num>
  <w:num w:numId="22">
    <w:abstractNumId w:val="38"/>
  </w:num>
  <w:num w:numId="23">
    <w:abstractNumId w:val="32"/>
  </w:num>
  <w:num w:numId="24">
    <w:abstractNumId w:val="28"/>
  </w:num>
  <w:num w:numId="25">
    <w:abstractNumId w:val="36"/>
  </w:num>
  <w:num w:numId="26">
    <w:abstractNumId w:val="27"/>
  </w:num>
  <w:num w:numId="27">
    <w:abstractNumId w:val="10"/>
  </w:num>
  <w:num w:numId="28">
    <w:abstractNumId w:val="21"/>
  </w:num>
  <w:num w:numId="29">
    <w:abstractNumId w:val="22"/>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7"/>
  </w:num>
  <w:num w:numId="34">
    <w:abstractNumId w:val="6"/>
  </w:num>
  <w:num w:numId="35">
    <w:abstractNumId w:val="7"/>
  </w:num>
  <w:num w:numId="36">
    <w:abstractNumId w:val="23"/>
  </w:num>
  <w:num w:numId="37">
    <w:abstractNumId w:val="31"/>
  </w:num>
  <w:num w:numId="38">
    <w:abstractNumId w:val="4"/>
  </w:num>
  <w:num w:numId="3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smańska Monika  (DSF)">
    <w15:presenceInfo w15:providerId="AD" w15:userId="S::Monika.Osmanska@ad.ms.gov.pl::c6b988a1-04b1-47d2-b087-1ea50d50b272"/>
  </w15:person>
  <w15:person w15:author="Frąszczak Daniela  (DSF)">
    <w15:presenceInfo w15:providerId="AD" w15:userId="S::Daniela.Fraszczak1@ad.ms.gov.pl::fd9e1834-4030-4174-8d17-013c7fad0b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8A"/>
    <w:rsid w:val="0000117E"/>
    <w:rsid w:val="000012CE"/>
    <w:rsid w:val="00003ACA"/>
    <w:rsid w:val="00007C80"/>
    <w:rsid w:val="00013990"/>
    <w:rsid w:val="00015DB0"/>
    <w:rsid w:val="00024BC2"/>
    <w:rsid w:val="00030B5B"/>
    <w:rsid w:val="00037B81"/>
    <w:rsid w:val="000412E4"/>
    <w:rsid w:val="0004478C"/>
    <w:rsid w:val="000448C2"/>
    <w:rsid w:val="00050A79"/>
    <w:rsid w:val="00052C4E"/>
    <w:rsid w:val="00055B68"/>
    <w:rsid w:val="000631D1"/>
    <w:rsid w:val="0006320D"/>
    <w:rsid w:val="000640EA"/>
    <w:rsid w:val="00072776"/>
    <w:rsid w:val="00080A68"/>
    <w:rsid w:val="00081A04"/>
    <w:rsid w:val="00086B53"/>
    <w:rsid w:val="00093F6A"/>
    <w:rsid w:val="000A29A9"/>
    <w:rsid w:val="000A2FA8"/>
    <w:rsid w:val="000A3D94"/>
    <w:rsid w:val="000A4A6D"/>
    <w:rsid w:val="000C560E"/>
    <w:rsid w:val="000D0F64"/>
    <w:rsid w:val="000E189A"/>
    <w:rsid w:val="000E1FBE"/>
    <w:rsid w:val="000E288B"/>
    <w:rsid w:val="000E58A5"/>
    <w:rsid w:val="000F1E91"/>
    <w:rsid w:val="000F7ED2"/>
    <w:rsid w:val="001003E6"/>
    <w:rsid w:val="00100AEB"/>
    <w:rsid w:val="0010656E"/>
    <w:rsid w:val="001105A5"/>
    <w:rsid w:val="00110984"/>
    <w:rsid w:val="001112AB"/>
    <w:rsid w:val="00112B98"/>
    <w:rsid w:val="001179F1"/>
    <w:rsid w:val="001207BE"/>
    <w:rsid w:val="001208EA"/>
    <w:rsid w:val="00123D1E"/>
    <w:rsid w:val="001401A5"/>
    <w:rsid w:val="00142F9C"/>
    <w:rsid w:val="00161207"/>
    <w:rsid w:val="0016199A"/>
    <w:rsid w:val="0016495F"/>
    <w:rsid w:val="00170999"/>
    <w:rsid w:val="00174D1C"/>
    <w:rsid w:val="00177B42"/>
    <w:rsid w:val="001821BC"/>
    <w:rsid w:val="00184282"/>
    <w:rsid w:val="00186A00"/>
    <w:rsid w:val="00187651"/>
    <w:rsid w:val="00192141"/>
    <w:rsid w:val="0019293B"/>
    <w:rsid w:val="00193E3D"/>
    <w:rsid w:val="001975AB"/>
    <w:rsid w:val="001A671B"/>
    <w:rsid w:val="001B2286"/>
    <w:rsid w:val="001B3A78"/>
    <w:rsid w:val="001B415A"/>
    <w:rsid w:val="001C3FF6"/>
    <w:rsid w:val="001D2A36"/>
    <w:rsid w:val="001D4A4D"/>
    <w:rsid w:val="001D57BE"/>
    <w:rsid w:val="001D6942"/>
    <w:rsid w:val="001F10B7"/>
    <w:rsid w:val="001F331F"/>
    <w:rsid w:val="001F5F00"/>
    <w:rsid w:val="001F63AD"/>
    <w:rsid w:val="00200F48"/>
    <w:rsid w:val="00201488"/>
    <w:rsid w:val="00217DDF"/>
    <w:rsid w:val="002218D7"/>
    <w:rsid w:val="0022312F"/>
    <w:rsid w:val="002278FA"/>
    <w:rsid w:val="00227E1F"/>
    <w:rsid w:val="002407CF"/>
    <w:rsid w:val="00242778"/>
    <w:rsid w:val="002456EE"/>
    <w:rsid w:val="002474D4"/>
    <w:rsid w:val="00251DF9"/>
    <w:rsid w:val="00257050"/>
    <w:rsid w:val="00257888"/>
    <w:rsid w:val="002625E1"/>
    <w:rsid w:val="002752D2"/>
    <w:rsid w:val="0028171D"/>
    <w:rsid w:val="00290347"/>
    <w:rsid w:val="002961EA"/>
    <w:rsid w:val="0029647F"/>
    <w:rsid w:val="002A33DD"/>
    <w:rsid w:val="002A4B8F"/>
    <w:rsid w:val="002A4D9A"/>
    <w:rsid w:val="002A502D"/>
    <w:rsid w:val="002A5797"/>
    <w:rsid w:val="002A7615"/>
    <w:rsid w:val="002B32FA"/>
    <w:rsid w:val="002B3A81"/>
    <w:rsid w:val="002E13A4"/>
    <w:rsid w:val="002E1573"/>
    <w:rsid w:val="002E56F7"/>
    <w:rsid w:val="002E7A2D"/>
    <w:rsid w:val="002F09CE"/>
    <w:rsid w:val="002F276B"/>
    <w:rsid w:val="002F4A76"/>
    <w:rsid w:val="002F50C5"/>
    <w:rsid w:val="00315A9A"/>
    <w:rsid w:val="00320B2D"/>
    <w:rsid w:val="003312F7"/>
    <w:rsid w:val="0033332E"/>
    <w:rsid w:val="003346F7"/>
    <w:rsid w:val="003436FC"/>
    <w:rsid w:val="00347B70"/>
    <w:rsid w:val="003530E2"/>
    <w:rsid w:val="003561E4"/>
    <w:rsid w:val="00364992"/>
    <w:rsid w:val="003937F3"/>
    <w:rsid w:val="00393AB7"/>
    <w:rsid w:val="00395D40"/>
    <w:rsid w:val="00397601"/>
    <w:rsid w:val="003A79DF"/>
    <w:rsid w:val="003B1413"/>
    <w:rsid w:val="003B4D91"/>
    <w:rsid w:val="003C3EAA"/>
    <w:rsid w:val="003D15EC"/>
    <w:rsid w:val="003D5375"/>
    <w:rsid w:val="003D5936"/>
    <w:rsid w:val="003D5F7A"/>
    <w:rsid w:val="003D7726"/>
    <w:rsid w:val="003E105B"/>
    <w:rsid w:val="003E7D9C"/>
    <w:rsid w:val="003F05D9"/>
    <w:rsid w:val="00402A95"/>
    <w:rsid w:val="004039AD"/>
    <w:rsid w:val="00404712"/>
    <w:rsid w:val="00404FBC"/>
    <w:rsid w:val="004076A1"/>
    <w:rsid w:val="00413F87"/>
    <w:rsid w:val="00431392"/>
    <w:rsid w:val="004317C0"/>
    <w:rsid w:val="00432F13"/>
    <w:rsid w:val="00440EB0"/>
    <w:rsid w:val="00442F50"/>
    <w:rsid w:val="00450110"/>
    <w:rsid w:val="00455218"/>
    <w:rsid w:val="00460AAF"/>
    <w:rsid w:val="004643B7"/>
    <w:rsid w:val="00470544"/>
    <w:rsid w:val="00474538"/>
    <w:rsid w:val="00475B95"/>
    <w:rsid w:val="004814E8"/>
    <w:rsid w:val="004A3BA4"/>
    <w:rsid w:val="004A3CC7"/>
    <w:rsid w:val="004A4466"/>
    <w:rsid w:val="004A605F"/>
    <w:rsid w:val="004C1A56"/>
    <w:rsid w:val="004C2A1C"/>
    <w:rsid w:val="004C49C9"/>
    <w:rsid w:val="004C5CFA"/>
    <w:rsid w:val="004D3EAE"/>
    <w:rsid w:val="004D7ADD"/>
    <w:rsid w:val="004E31B2"/>
    <w:rsid w:val="004F24C1"/>
    <w:rsid w:val="004F361A"/>
    <w:rsid w:val="004F3787"/>
    <w:rsid w:val="004F78AA"/>
    <w:rsid w:val="005036A8"/>
    <w:rsid w:val="00506DA0"/>
    <w:rsid w:val="00510D4D"/>
    <w:rsid w:val="0051421C"/>
    <w:rsid w:val="00515084"/>
    <w:rsid w:val="00522637"/>
    <w:rsid w:val="0052582C"/>
    <w:rsid w:val="005260FA"/>
    <w:rsid w:val="005334D9"/>
    <w:rsid w:val="005434BC"/>
    <w:rsid w:val="00547A7F"/>
    <w:rsid w:val="00547B09"/>
    <w:rsid w:val="00555BDF"/>
    <w:rsid w:val="00561319"/>
    <w:rsid w:val="00561DA3"/>
    <w:rsid w:val="00562453"/>
    <w:rsid w:val="0056414A"/>
    <w:rsid w:val="00566225"/>
    <w:rsid w:val="00570AD8"/>
    <w:rsid w:val="00574EEB"/>
    <w:rsid w:val="0058301A"/>
    <w:rsid w:val="005867B6"/>
    <w:rsid w:val="00593FCF"/>
    <w:rsid w:val="00594384"/>
    <w:rsid w:val="0059477F"/>
    <w:rsid w:val="00596732"/>
    <w:rsid w:val="005A76C5"/>
    <w:rsid w:val="005B02C3"/>
    <w:rsid w:val="005B086C"/>
    <w:rsid w:val="005B3CC4"/>
    <w:rsid w:val="005C4A57"/>
    <w:rsid w:val="005D2FFC"/>
    <w:rsid w:val="005E5B1F"/>
    <w:rsid w:val="005F054A"/>
    <w:rsid w:val="005F285E"/>
    <w:rsid w:val="005F3244"/>
    <w:rsid w:val="005F62F5"/>
    <w:rsid w:val="00605D0C"/>
    <w:rsid w:val="006206FF"/>
    <w:rsid w:val="00623F65"/>
    <w:rsid w:val="00624403"/>
    <w:rsid w:val="00630392"/>
    <w:rsid w:val="0063410A"/>
    <w:rsid w:val="006510EF"/>
    <w:rsid w:val="00654050"/>
    <w:rsid w:val="00661ACC"/>
    <w:rsid w:val="00662A32"/>
    <w:rsid w:val="00664C7A"/>
    <w:rsid w:val="00666C6B"/>
    <w:rsid w:val="00670E5B"/>
    <w:rsid w:val="006735FE"/>
    <w:rsid w:val="006960EF"/>
    <w:rsid w:val="00697BA2"/>
    <w:rsid w:val="006A057D"/>
    <w:rsid w:val="006A33B5"/>
    <w:rsid w:val="006A3C7B"/>
    <w:rsid w:val="006A6F96"/>
    <w:rsid w:val="006B1EA1"/>
    <w:rsid w:val="006C2329"/>
    <w:rsid w:val="006C4F84"/>
    <w:rsid w:val="006D0FC7"/>
    <w:rsid w:val="006D4570"/>
    <w:rsid w:val="006E53E8"/>
    <w:rsid w:val="006F5109"/>
    <w:rsid w:val="006F7CB9"/>
    <w:rsid w:val="007023D0"/>
    <w:rsid w:val="007220E8"/>
    <w:rsid w:val="00727027"/>
    <w:rsid w:val="0072710B"/>
    <w:rsid w:val="00730371"/>
    <w:rsid w:val="007308D4"/>
    <w:rsid w:val="00733B9D"/>
    <w:rsid w:val="00735EFE"/>
    <w:rsid w:val="00741959"/>
    <w:rsid w:val="00742EF5"/>
    <w:rsid w:val="007450D2"/>
    <w:rsid w:val="007529F8"/>
    <w:rsid w:val="0075471A"/>
    <w:rsid w:val="00761577"/>
    <w:rsid w:val="00763DF1"/>
    <w:rsid w:val="00764E23"/>
    <w:rsid w:val="0077091A"/>
    <w:rsid w:val="00770DB7"/>
    <w:rsid w:val="00773A80"/>
    <w:rsid w:val="00773EE9"/>
    <w:rsid w:val="0077421C"/>
    <w:rsid w:val="00780D7D"/>
    <w:rsid w:val="007820D8"/>
    <w:rsid w:val="00787BEF"/>
    <w:rsid w:val="007A57B5"/>
    <w:rsid w:val="007B1ADC"/>
    <w:rsid w:val="007B1CE4"/>
    <w:rsid w:val="007B4B03"/>
    <w:rsid w:val="007D0FE5"/>
    <w:rsid w:val="007D50C2"/>
    <w:rsid w:val="007E0B2F"/>
    <w:rsid w:val="007E17E5"/>
    <w:rsid w:val="007E62D8"/>
    <w:rsid w:val="007E6FE2"/>
    <w:rsid w:val="007F2405"/>
    <w:rsid w:val="007F6B31"/>
    <w:rsid w:val="0080385A"/>
    <w:rsid w:val="008135E6"/>
    <w:rsid w:val="008233E2"/>
    <w:rsid w:val="00824D65"/>
    <w:rsid w:val="00830F13"/>
    <w:rsid w:val="008321BB"/>
    <w:rsid w:val="00835267"/>
    <w:rsid w:val="0083636D"/>
    <w:rsid w:val="008373BB"/>
    <w:rsid w:val="008436BE"/>
    <w:rsid w:val="00852924"/>
    <w:rsid w:val="00870F95"/>
    <w:rsid w:val="00872E8B"/>
    <w:rsid w:val="00873219"/>
    <w:rsid w:val="00874C28"/>
    <w:rsid w:val="008772FF"/>
    <w:rsid w:val="00894F39"/>
    <w:rsid w:val="008A5E1B"/>
    <w:rsid w:val="008B3487"/>
    <w:rsid w:val="008B760D"/>
    <w:rsid w:val="008C1C06"/>
    <w:rsid w:val="008D37E7"/>
    <w:rsid w:val="008D7AF5"/>
    <w:rsid w:val="008E0AA7"/>
    <w:rsid w:val="008E3F14"/>
    <w:rsid w:val="008E5C15"/>
    <w:rsid w:val="008E6900"/>
    <w:rsid w:val="00906F7E"/>
    <w:rsid w:val="00910C78"/>
    <w:rsid w:val="0091150A"/>
    <w:rsid w:val="00913DD7"/>
    <w:rsid w:val="00916DF6"/>
    <w:rsid w:val="00930ED1"/>
    <w:rsid w:val="0093259B"/>
    <w:rsid w:val="00934595"/>
    <w:rsid w:val="00941C0C"/>
    <w:rsid w:val="00944FA7"/>
    <w:rsid w:val="009472A5"/>
    <w:rsid w:val="0095152A"/>
    <w:rsid w:val="00956667"/>
    <w:rsid w:val="00956B94"/>
    <w:rsid w:val="00957067"/>
    <w:rsid w:val="00957DBF"/>
    <w:rsid w:val="00966CC9"/>
    <w:rsid w:val="00976CE2"/>
    <w:rsid w:val="009837F6"/>
    <w:rsid w:val="009A31C6"/>
    <w:rsid w:val="009A352C"/>
    <w:rsid w:val="009C44A3"/>
    <w:rsid w:val="009E69DB"/>
    <w:rsid w:val="00A07047"/>
    <w:rsid w:val="00A24AF0"/>
    <w:rsid w:val="00A367AE"/>
    <w:rsid w:val="00A540EA"/>
    <w:rsid w:val="00A55A09"/>
    <w:rsid w:val="00A560AB"/>
    <w:rsid w:val="00A63D57"/>
    <w:rsid w:val="00A65EA1"/>
    <w:rsid w:val="00A66F85"/>
    <w:rsid w:val="00A708B7"/>
    <w:rsid w:val="00A744E4"/>
    <w:rsid w:val="00A76FDE"/>
    <w:rsid w:val="00A77DED"/>
    <w:rsid w:val="00A83F2F"/>
    <w:rsid w:val="00A9201E"/>
    <w:rsid w:val="00A93641"/>
    <w:rsid w:val="00AA08AC"/>
    <w:rsid w:val="00AC257C"/>
    <w:rsid w:val="00AC53D2"/>
    <w:rsid w:val="00AE6A4E"/>
    <w:rsid w:val="00B00DDD"/>
    <w:rsid w:val="00B05BA4"/>
    <w:rsid w:val="00B10BFC"/>
    <w:rsid w:val="00B145EB"/>
    <w:rsid w:val="00B154AE"/>
    <w:rsid w:val="00B20493"/>
    <w:rsid w:val="00B217A6"/>
    <w:rsid w:val="00B23EFA"/>
    <w:rsid w:val="00B3144A"/>
    <w:rsid w:val="00B31DDB"/>
    <w:rsid w:val="00B36E5B"/>
    <w:rsid w:val="00B40FD3"/>
    <w:rsid w:val="00B42200"/>
    <w:rsid w:val="00B473F6"/>
    <w:rsid w:val="00B633C2"/>
    <w:rsid w:val="00B63A1C"/>
    <w:rsid w:val="00B75AF8"/>
    <w:rsid w:val="00B75F78"/>
    <w:rsid w:val="00B81D3B"/>
    <w:rsid w:val="00B84741"/>
    <w:rsid w:val="00B94116"/>
    <w:rsid w:val="00BA26B8"/>
    <w:rsid w:val="00BA4ED2"/>
    <w:rsid w:val="00BB25FA"/>
    <w:rsid w:val="00BC02D4"/>
    <w:rsid w:val="00BC237E"/>
    <w:rsid w:val="00BC489F"/>
    <w:rsid w:val="00BD3383"/>
    <w:rsid w:val="00BD3EFE"/>
    <w:rsid w:val="00BD7E3E"/>
    <w:rsid w:val="00BE0FA6"/>
    <w:rsid w:val="00BF074E"/>
    <w:rsid w:val="00BF6C4E"/>
    <w:rsid w:val="00BF7392"/>
    <w:rsid w:val="00BF7F7F"/>
    <w:rsid w:val="00C10410"/>
    <w:rsid w:val="00C15FDA"/>
    <w:rsid w:val="00C17587"/>
    <w:rsid w:val="00C2216A"/>
    <w:rsid w:val="00C34CE3"/>
    <w:rsid w:val="00C3567A"/>
    <w:rsid w:val="00C36ADA"/>
    <w:rsid w:val="00C5021B"/>
    <w:rsid w:val="00C519FB"/>
    <w:rsid w:val="00C563D9"/>
    <w:rsid w:val="00C600BE"/>
    <w:rsid w:val="00C6508D"/>
    <w:rsid w:val="00C6665B"/>
    <w:rsid w:val="00C70EE0"/>
    <w:rsid w:val="00C728A1"/>
    <w:rsid w:val="00C749DD"/>
    <w:rsid w:val="00C85554"/>
    <w:rsid w:val="00CA22A2"/>
    <w:rsid w:val="00CA4B43"/>
    <w:rsid w:val="00CA6619"/>
    <w:rsid w:val="00CA697C"/>
    <w:rsid w:val="00CB2F6E"/>
    <w:rsid w:val="00CB3CB7"/>
    <w:rsid w:val="00CD2A69"/>
    <w:rsid w:val="00CD631F"/>
    <w:rsid w:val="00CE693A"/>
    <w:rsid w:val="00CE7623"/>
    <w:rsid w:val="00CF0825"/>
    <w:rsid w:val="00CF3056"/>
    <w:rsid w:val="00D03F78"/>
    <w:rsid w:val="00D05C74"/>
    <w:rsid w:val="00D15A4C"/>
    <w:rsid w:val="00D22AB2"/>
    <w:rsid w:val="00D27252"/>
    <w:rsid w:val="00D36409"/>
    <w:rsid w:val="00D402B4"/>
    <w:rsid w:val="00D43C01"/>
    <w:rsid w:val="00D46CB6"/>
    <w:rsid w:val="00D50FDD"/>
    <w:rsid w:val="00D56150"/>
    <w:rsid w:val="00D604F4"/>
    <w:rsid w:val="00D60774"/>
    <w:rsid w:val="00D63C89"/>
    <w:rsid w:val="00D67239"/>
    <w:rsid w:val="00D70610"/>
    <w:rsid w:val="00D8066D"/>
    <w:rsid w:val="00D87596"/>
    <w:rsid w:val="00D909B5"/>
    <w:rsid w:val="00D91C18"/>
    <w:rsid w:val="00D948F1"/>
    <w:rsid w:val="00D96155"/>
    <w:rsid w:val="00D97E08"/>
    <w:rsid w:val="00DA0A76"/>
    <w:rsid w:val="00DA1426"/>
    <w:rsid w:val="00DA2457"/>
    <w:rsid w:val="00DA43B3"/>
    <w:rsid w:val="00DB491F"/>
    <w:rsid w:val="00DC627B"/>
    <w:rsid w:val="00DD03AA"/>
    <w:rsid w:val="00DD4FB0"/>
    <w:rsid w:val="00DE0234"/>
    <w:rsid w:val="00DE031D"/>
    <w:rsid w:val="00DE2FFF"/>
    <w:rsid w:val="00DE419A"/>
    <w:rsid w:val="00DF06C6"/>
    <w:rsid w:val="00DF7E58"/>
    <w:rsid w:val="00E0011C"/>
    <w:rsid w:val="00E0101E"/>
    <w:rsid w:val="00E05ACB"/>
    <w:rsid w:val="00E07552"/>
    <w:rsid w:val="00E14CDD"/>
    <w:rsid w:val="00E34748"/>
    <w:rsid w:val="00E35650"/>
    <w:rsid w:val="00E35F92"/>
    <w:rsid w:val="00E378F9"/>
    <w:rsid w:val="00E4077F"/>
    <w:rsid w:val="00E45529"/>
    <w:rsid w:val="00E5227F"/>
    <w:rsid w:val="00E60E76"/>
    <w:rsid w:val="00E64182"/>
    <w:rsid w:val="00E64F12"/>
    <w:rsid w:val="00E70B63"/>
    <w:rsid w:val="00E72530"/>
    <w:rsid w:val="00E8044E"/>
    <w:rsid w:val="00E92463"/>
    <w:rsid w:val="00E94EB4"/>
    <w:rsid w:val="00E95C22"/>
    <w:rsid w:val="00E9669D"/>
    <w:rsid w:val="00EA5115"/>
    <w:rsid w:val="00EA61F6"/>
    <w:rsid w:val="00EB10B2"/>
    <w:rsid w:val="00EB7249"/>
    <w:rsid w:val="00EC5CFA"/>
    <w:rsid w:val="00EC665F"/>
    <w:rsid w:val="00ED18B9"/>
    <w:rsid w:val="00ED618B"/>
    <w:rsid w:val="00EE14E4"/>
    <w:rsid w:val="00EE75FF"/>
    <w:rsid w:val="00EE7862"/>
    <w:rsid w:val="00EF12B4"/>
    <w:rsid w:val="00F16A63"/>
    <w:rsid w:val="00F20081"/>
    <w:rsid w:val="00F232AF"/>
    <w:rsid w:val="00F2680A"/>
    <w:rsid w:val="00F33DAA"/>
    <w:rsid w:val="00F34AFA"/>
    <w:rsid w:val="00F424AC"/>
    <w:rsid w:val="00F44558"/>
    <w:rsid w:val="00F467E1"/>
    <w:rsid w:val="00F52C9A"/>
    <w:rsid w:val="00F61F77"/>
    <w:rsid w:val="00F720A0"/>
    <w:rsid w:val="00F75263"/>
    <w:rsid w:val="00F7558A"/>
    <w:rsid w:val="00F8164D"/>
    <w:rsid w:val="00F81C42"/>
    <w:rsid w:val="00F86943"/>
    <w:rsid w:val="00F938A3"/>
    <w:rsid w:val="00F943F0"/>
    <w:rsid w:val="00F96C77"/>
    <w:rsid w:val="00FB0DE2"/>
    <w:rsid w:val="00FC52D6"/>
    <w:rsid w:val="00FC53E2"/>
    <w:rsid w:val="00FD2474"/>
    <w:rsid w:val="00FD29E0"/>
    <w:rsid w:val="00FD421D"/>
    <w:rsid w:val="00FD5F00"/>
    <w:rsid w:val="00FD7CA7"/>
    <w:rsid w:val="00FE001C"/>
    <w:rsid w:val="00FE7ADB"/>
    <w:rsid w:val="00FF48DE"/>
    <w:rsid w:val="00FF6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4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037B81"/>
    <w:pPr>
      <w:spacing w:after="0" w:line="360" w:lineRule="auto"/>
      <w:ind w:left="720"/>
      <w:contextualSpacing/>
      <w:jc w:val="both"/>
    </w:pPr>
    <w:rPr>
      <w:rFonts w:ascii="Arial" w:eastAsia="Times New Roman" w:hAnsi="Arial"/>
      <w:szCs w:val="24"/>
      <w:lang w:eastAsia="pl-PL"/>
    </w:rPr>
  </w:style>
  <w:style w:type="paragraph" w:styleId="Tekstdymka">
    <w:name w:val="Balloon Text"/>
    <w:basedOn w:val="Normalny"/>
    <w:link w:val="TekstdymkaZnak"/>
    <w:uiPriority w:val="99"/>
    <w:semiHidden/>
    <w:unhideWhenUsed/>
    <w:rsid w:val="007B4B0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B4B03"/>
    <w:rPr>
      <w:rFonts w:ascii="Tahoma" w:hAnsi="Tahoma" w:cs="Tahoma"/>
      <w:sz w:val="16"/>
      <w:szCs w:val="16"/>
      <w:lang w:eastAsia="en-US"/>
    </w:rPr>
  </w:style>
  <w:style w:type="paragraph" w:styleId="Nagwek">
    <w:name w:val="header"/>
    <w:basedOn w:val="Normalny"/>
    <w:link w:val="NagwekZnak"/>
    <w:uiPriority w:val="99"/>
    <w:unhideWhenUsed/>
    <w:rsid w:val="003D5936"/>
    <w:pPr>
      <w:tabs>
        <w:tab w:val="center" w:pos="4536"/>
        <w:tab w:val="right" w:pos="9072"/>
      </w:tabs>
    </w:pPr>
  </w:style>
  <w:style w:type="character" w:customStyle="1" w:styleId="NagwekZnak">
    <w:name w:val="Nagłówek Znak"/>
    <w:link w:val="Nagwek"/>
    <w:uiPriority w:val="99"/>
    <w:rsid w:val="003D5936"/>
    <w:rPr>
      <w:sz w:val="22"/>
      <w:szCs w:val="22"/>
      <w:lang w:eastAsia="en-US"/>
    </w:rPr>
  </w:style>
  <w:style w:type="paragraph" w:styleId="Stopka">
    <w:name w:val="footer"/>
    <w:basedOn w:val="Normalny"/>
    <w:link w:val="StopkaZnak"/>
    <w:uiPriority w:val="99"/>
    <w:unhideWhenUsed/>
    <w:rsid w:val="003D5936"/>
    <w:pPr>
      <w:tabs>
        <w:tab w:val="center" w:pos="4536"/>
        <w:tab w:val="right" w:pos="9072"/>
      </w:tabs>
    </w:pPr>
  </w:style>
  <w:style w:type="character" w:customStyle="1" w:styleId="StopkaZnak">
    <w:name w:val="Stopka Znak"/>
    <w:link w:val="Stopka"/>
    <w:uiPriority w:val="99"/>
    <w:rsid w:val="003D5936"/>
    <w:rPr>
      <w:sz w:val="22"/>
      <w:szCs w:val="22"/>
      <w:lang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semiHidden/>
    <w:rsid w:val="003D593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semiHidden/>
    <w:rsid w:val="003D5936"/>
    <w:rPr>
      <w:rFonts w:ascii="Times New Roman" w:eastAsia="Times New Roman" w:hAnsi="Times New Roman"/>
    </w:rPr>
  </w:style>
  <w:style w:type="character" w:styleId="Odwoanieprzypisudolnego">
    <w:name w:val="footnote reference"/>
    <w:aliases w:val="Footnote Reference Number"/>
    <w:uiPriority w:val="99"/>
    <w:rsid w:val="003D5936"/>
    <w:rPr>
      <w:vertAlign w:val="superscript"/>
    </w:rPr>
  </w:style>
  <w:style w:type="character" w:styleId="Odwoaniedokomentarza">
    <w:name w:val="annotation reference"/>
    <w:uiPriority w:val="99"/>
    <w:semiHidden/>
    <w:unhideWhenUsed/>
    <w:rsid w:val="00110984"/>
    <w:rPr>
      <w:sz w:val="16"/>
      <w:szCs w:val="16"/>
    </w:rPr>
  </w:style>
  <w:style w:type="paragraph" w:styleId="Tekstkomentarza">
    <w:name w:val="annotation text"/>
    <w:basedOn w:val="Normalny"/>
    <w:link w:val="TekstkomentarzaZnak"/>
    <w:uiPriority w:val="99"/>
    <w:semiHidden/>
    <w:unhideWhenUsed/>
    <w:rsid w:val="00110984"/>
    <w:rPr>
      <w:sz w:val="20"/>
      <w:szCs w:val="20"/>
    </w:rPr>
  </w:style>
  <w:style w:type="character" w:customStyle="1" w:styleId="TekstkomentarzaZnak">
    <w:name w:val="Tekst komentarza Znak"/>
    <w:link w:val="Tekstkomentarza"/>
    <w:uiPriority w:val="99"/>
    <w:semiHidden/>
    <w:rsid w:val="00110984"/>
    <w:rPr>
      <w:lang w:eastAsia="en-US"/>
    </w:rPr>
  </w:style>
  <w:style w:type="paragraph" w:styleId="Tematkomentarza">
    <w:name w:val="annotation subject"/>
    <w:basedOn w:val="Tekstkomentarza"/>
    <w:next w:val="Tekstkomentarza"/>
    <w:link w:val="TematkomentarzaZnak"/>
    <w:uiPriority w:val="99"/>
    <w:semiHidden/>
    <w:unhideWhenUsed/>
    <w:rsid w:val="00110984"/>
    <w:rPr>
      <w:b/>
      <w:bCs/>
    </w:rPr>
  </w:style>
  <w:style w:type="character" w:customStyle="1" w:styleId="TematkomentarzaZnak">
    <w:name w:val="Temat komentarza Znak"/>
    <w:link w:val="Tematkomentarza"/>
    <w:uiPriority w:val="99"/>
    <w:semiHidden/>
    <w:rsid w:val="00110984"/>
    <w:rPr>
      <w:b/>
      <w:bCs/>
      <w:lang w:eastAsia="en-US"/>
    </w:rPr>
  </w:style>
  <w:style w:type="character" w:styleId="Pogrubienie">
    <w:name w:val="Strong"/>
    <w:uiPriority w:val="22"/>
    <w:qFormat/>
    <w:rsid w:val="000E58A5"/>
    <w:rPr>
      <w:b/>
      <w:bCs/>
    </w:rPr>
  </w:style>
  <w:style w:type="paragraph" w:styleId="Poprawka">
    <w:name w:val="Revision"/>
    <w:hidden/>
    <w:uiPriority w:val="99"/>
    <w:semiHidden/>
    <w:rsid w:val="00E4552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037B81"/>
    <w:pPr>
      <w:spacing w:after="0" w:line="360" w:lineRule="auto"/>
      <w:ind w:left="720"/>
      <w:contextualSpacing/>
      <w:jc w:val="both"/>
    </w:pPr>
    <w:rPr>
      <w:rFonts w:ascii="Arial" w:eastAsia="Times New Roman" w:hAnsi="Arial"/>
      <w:szCs w:val="24"/>
      <w:lang w:eastAsia="pl-PL"/>
    </w:rPr>
  </w:style>
  <w:style w:type="paragraph" w:styleId="Tekstdymka">
    <w:name w:val="Balloon Text"/>
    <w:basedOn w:val="Normalny"/>
    <w:link w:val="TekstdymkaZnak"/>
    <w:uiPriority w:val="99"/>
    <w:semiHidden/>
    <w:unhideWhenUsed/>
    <w:rsid w:val="007B4B0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B4B03"/>
    <w:rPr>
      <w:rFonts w:ascii="Tahoma" w:hAnsi="Tahoma" w:cs="Tahoma"/>
      <w:sz w:val="16"/>
      <w:szCs w:val="16"/>
      <w:lang w:eastAsia="en-US"/>
    </w:rPr>
  </w:style>
  <w:style w:type="paragraph" w:styleId="Nagwek">
    <w:name w:val="header"/>
    <w:basedOn w:val="Normalny"/>
    <w:link w:val="NagwekZnak"/>
    <w:uiPriority w:val="99"/>
    <w:unhideWhenUsed/>
    <w:rsid w:val="003D5936"/>
    <w:pPr>
      <w:tabs>
        <w:tab w:val="center" w:pos="4536"/>
        <w:tab w:val="right" w:pos="9072"/>
      </w:tabs>
    </w:pPr>
  </w:style>
  <w:style w:type="character" w:customStyle="1" w:styleId="NagwekZnak">
    <w:name w:val="Nagłówek Znak"/>
    <w:link w:val="Nagwek"/>
    <w:uiPriority w:val="99"/>
    <w:rsid w:val="003D5936"/>
    <w:rPr>
      <w:sz w:val="22"/>
      <w:szCs w:val="22"/>
      <w:lang w:eastAsia="en-US"/>
    </w:rPr>
  </w:style>
  <w:style w:type="paragraph" w:styleId="Stopka">
    <w:name w:val="footer"/>
    <w:basedOn w:val="Normalny"/>
    <w:link w:val="StopkaZnak"/>
    <w:uiPriority w:val="99"/>
    <w:unhideWhenUsed/>
    <w:rsid w:val="003D5936"/>
    <w:pPr>
      <w:tabs>
        <w:tab w:val="center" w:pos="4536"/>
        <w:tab w:val="right" w:pos="9072"/>
      </w:tabs>
    </w:pPr>
  </w:style>
  <w:style w:type="character" w:customStyle="1" w:styleId="StopkaZnak">
    <w:name w:val="Stopka Znak"/>
    <w:link w:val="Stopka"/>
    <w:uiPriority w:val="99"/>
    <w:rsid w:val="003D5936"/>
    <w:rPr>
      <w:sz w:val="22"/>
      <w:szCs w:val="22"/>
      <w:lang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semiHidden/>
    <w:rsid w:val="003D593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semiHidden/>
    <w:rsid w:val="003D5936"/>
    <w:rPr>
      <w:rFonts w:ascii="Times New Roman" w:eastAsia="Times New Roman" w:hAnsi="Times New Roman"/>
    </w:rPr>
  </w:style>
  <w:style w:type="character" w:styleId="Odwoanieprzypisudolnego">
    <w:name w:val="footnote reference"/>
    <w:aliases w:val="Footnote Reference Number"/>
    <w:uiPriority w:val="99"/>
    <w:rsid w:val="003D5936"/>
    <w:rPr>
      <w:vertAlign w:val="superscript"/>
    </w:rPr>
  </w:style>
  <w:style w:type="character" w:styleId="Odwoaniedokomentarza">
    <w:name w:val="annotation reference"/>
    <w:uiPriority w:val="99"/>
    <w:semiHidden/>
    <w:unhideWhenUsed/>
    <w:rsid w:val="00110984"/>
    <w:rPr>
      <w:sz w:val="16"/>
      <w:szCs w:val="16"/>
    </w:rPr>
  </w:style>
  <w:style w:type="paragraph" w:styleId="Tekstkomentarza">
    <w:name w:val="annotation text"/>
    <w:basedOn w:val="Normalny"/>
    <w:link w:val="TekstkomentarzaZnak"/>
    <w:uiPriority w:val="99"/>
    <w:semiHidden/>
    <w:unhideWhenUsed/>
    <w:rsid w:val="00110984"/>
    <w:rPr>
      <w:sz w:val="20"/>
      <w:szCs w:val="20"/>
    </w:rPr>
  </w:style>
  <w:style w:type="character" w:customStyle="1" w:styleId="TekstkomentarzaZnak">
    <w:name w:val="Tekst komentarza Znak"/>
    <w:link w:val="Tekstkomentarza"/>
    <w:uiPriority w:val="99"/>
    <w:semiHidden/>
    <w:rsid w:val="00110984"/>
    <w:rPr>
      <w:lang w:eastAsia="en-US"/>
    </w:rPr>
  </w:style>
  <w:style w:type="paragraph" w:styleId="Tematkomentarza">
    <w:name w:val="annotation subject"/>
    <w:basedOn w:val="Tekstkomentarza"/>
    <w:next w:val="Tekstkomentarza"/>
    <w:link w:val="TematkomentarzaZnak"/>
    <w:uiPriority w:val="99"/>
    <w:semiHidden/>
    <w:unhideWhenUsed/>
    <w:rsid w:val="00110984"/>
    <w:rPr>
      <w:b/>
      <w:bCs/>
    </w:rPr>
  </w:style>
  <w:style w:type="character" w:customStyle="1" w:styleId="TematkomentarzaZnak">
    <w:name w:val="Temat komentarza Znak"/>
    <w:link w:val="Tematkomentarza"/>
    <w:uiPriority w:val="99"/>
    <w:semiHidden/>
    <w:rsid w:val="00110984"/>
    <w:rPr>
      <w:b/>
      <w:bCs/>
      <w:lang w:eastAsia="en-US"/>
    </w:rPr>
  </w:style>
  <w:style w:type="character" w:styleId="Pogrubienie">
    <w:name w:val="Strong"/>
    <w:uiPriority w:val="22"/>
    <w:qFormat/>
    <w:rsid w:val="000E58A5"/>
    <w:rPr>
      <w:b/>
      <w:bCs/>
    </w:rPr>
  </w:style>
  <w:style w:type="paragraph" w:styleId="Poprawka">
    <w:name w:val="Revision"/>
    <w:hidden/>
    <w:uiPriority w:val="99"/>
    <w:semiHidden/>
    <w:rsid w:val="00E455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AE130-9880-4A4F-920D-15846EE6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18397</Words>
  <Characters>110386</Characters>
  <Application>Microsoft Office Word</Application>
  <DocSecurity>0</DocSecurity>
  <Lines>919</Lines>
  <Paragraphs>257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128526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Galant</dc:creator>
  <cp:lastModifiedBy>Lukasz Grezel</cp:lastModifiedBy>
  <cp:revision>3</cp:revision>
  <cp:lastPrinted>2020-09-11T13:47:00Z</cp:lastPrinted>
  <dcterms:created xsi:type="dcterms:W3CDTF">2020-10-07T09:54:00Z</dcterms:created>
  <dcterms:modified xsi:type="dcterms:W3CDTF">2020-10-07T11:17:00Z</dcterms:modified>
</cp:coreProperties>
</file>