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80"/>
        <w:gridCol w:w="1123"/>
        <w:gridCol w:w="215"/>
        <w:gridCol w:w="1145"/>
        <w:gridCol w:w="752"/>
        <w:gridCol w:w="1166"/>
        <w:gridCol w:w="113"/>
        <w:gridCol w:w="769"/>
        <w:gridCol w:w="769"/>
        <w:gridCol w:w="430"/>
        <w:gridCol w:w="1015"/>
        <w:gridCol w:w="2016"/>
        <w:gridCol w:w="1331"/>
        <w:gridCol w:w="982"/>
        <w:gridCol w:w="682"/>
        <w:gridCol w:w="700"/>
      </w:tblGrid>
      <w:tr w:rsidR="003E2415" w:rsidRPr="00C356D4" w:rsidTr="00877722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299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E2415" w:rsidRPr="00C356D4" w:rsidTr="00877722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Prezesa </w:t>
            </w:r>
            <w:r w:rsidRPr="00C356D4">
              <w:rPr>
                <w:rFonts w:cs="Calibri"/>
                <w:color w:val="000000"/>
              </w:rPr>
              <w:lastRenderedPageBreak/>
              <w:t>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kw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„Argo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zoptymalizowanych, dzięki wsparciu EFS, makroprocesów</w:t>
            </w:r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wrzesień 2017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KRS – Modyfikacje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 2018</w:t>
            </w:r>
          </w:p>
        </w:tc>
      </w:tr>
      <w:tr w:rsidR="003E2415" w:rsidRPr="009F3E6C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Ujednolicenie i poprawa procesów obsługi interesanta przez Biura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Podawcze w powszechnych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pracowników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Przygotowanie i wdrożenie metodyki prowadzenia postępowania przygotowawczego w sprawach karnych z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zakresie zarządzania i 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objętych wsparciem  w zakresie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3E2415" w:rsidRPr="00CB6CD6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zarządzania i 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opracowanych narzędzi umożliwiających określanie potrzeb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 xml:space="preserve">Usprawnienie procesów zarządzania procesami i usługami IT oraz eksploatacją infrastruktury techniczno- systemowej w jednostkach organizacyjnych </w:t>
            </w:r>
            <w:r w:rsidRPr="00D41FAC">
              <w:rPr>
                <w:rFonts w:cs="Calibri"/>
                <w:sz w:val="20"/>
                <w:szCs w:val="20"/>
              </w:rPr>
              <w:lastRenderedPageBreak/>
              <w:t>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oraz jednostek organizacyjnych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(eKRS)</w:t>
            </w:r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odpisów pełnych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dostępnych w eKRS (obecna wartość – 0%)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o.o. , (obecna wartość 52%)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finansowych składanych bezpośrednio do RDF, bez udziału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sądu rejestrowego (obecna wartość –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h ze środków EFS</w:t>
            </w:r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Biur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Obsługi Interesanta w sądach oraz Biur Podawczych w jednostkach organizacyjnych prokuratury objętych wsparciem EFS</w:t>
            </w:r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podnieśli swoje kompetencje w wyniku udziału w  specjalistycznym </w:t>
            </w:r>
            <w:r w:rsidRPr="00C63ED7">
              <w:rPr>
                <w:strike/>
                <w:sz w:val="20"/>
                <w:szCs w:val="20"/>
              </w:rPr>
              <w:lastRenderedPageBreak/>
              <w:t>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</w:t>
            </w:r>
            <w:r w:rsidRPr="00051C84">
              <w:rPr>
                <w:strike/>
                <w:sz w:val="20"/>
                <w:szCs w:val="20"/>
              </w:rPr>
              <w:lastRenderedPageBreak/>
              <w:t>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administracji </w:t>
            </w:r>
            <w:r w:rsidRPr="00243FEC">
              <w:rPr>
                <w:sz w:val="20"/>
                <w:szCs w:val="20"/>
              </w:rPr>
              <w:lastRenderedPageBreak/>
              <w:t>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doskonalenia jakości funkcjonowania i obsługi </w:t>
            </w:r>
            <w:r w:rsidRPr="00243FEC">
              <w:rPr>
                <w:sz w:val="20"/>
                <w:szCs w:val="20"/>
              </w:rPr>
              <w:lastRenderedPageBreak/>
              <w:t>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problematyki prawnej i </w:t>
            </w:r>
            <w:r w:rsidRPr="00243FEC">
              <w:rPr>
                <w:sz w:val="20"/>
                <w:szCs w:val="20"/>
              </w:rPr>
              <w:lastRenderedPageBreak/>
              <w:t>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</w:t>
            </w:r>
            <w:r w:rsidRPr="00C45BCF">
              <w:rPr>
                <w:sz w:val="20"/>
                <w:szCs w:val="20"/>
              </w:rPr>
              <w:lastRenderedPageBreak/>
              <w:t>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EA65D4" w:rsidRP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44A85" w:rsidRPr="00EA65D4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760D98" w:rsidRP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obsługi </w:t>
            </w:r>
            <w:r w:rsidRPr="004417EB">
              <w:rPr>
                <w:sz w:val="20"/>
                <w:szCs w:val="20"/>
              </w:rPr>
              <w:lastRenderedPageBreak/>
              <w:t>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</w:t>
            </w:r>
            <w:r w:rsidRPr="009A61C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i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</w:t>
            </w:r>
            <w:r w:rsidRPr="00C13BB6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geoinformacji,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</w:t>
            </w:r>
            <w:r w:rsidRPr="00945F9E">
              <w:rPr>
                <w:sz w:val="20"/>
                <w:szCs w:val="20"/>
              </w:rPr>
              <w:lastRenderedPageBreak/>
              <w:t>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</w:t>
            </w:r>
            <w:r w:rsidRPr="00C13BB6">
              <w:rPr>
                <w:sz w:val="20"/>
                <w:szCs w:val="20"/>
              </w:rPr>
              <w:lastRenderedPageBreak/>
              <w:t>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MIiR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infrastruktury </w:t>
            </w:r>
            <w:r w:rsidRPr="005D47F9">
              <w:rPr>
                <w:sz w:val="20"/>
                <w:szCs w:val="20"/>
              </w:rPr>
              <w:lastRenderedPageBreak/>
              <w:t>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opublikowanych na stronie internetowej programów edukacyjno-szkoleniowych do wykorzystania przez organy administracji </w:t>
            </w:r>
            <w:r w:rsidRPr="005D47F9">
              <w:rPr>
                <w:sz w:val="20"/>
                <w:szCs w:val="20"/>
              </w:rPr>
              <w:lastRenderedPageBreak/>
              <w:t>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geoinformacji, monitoringu infrastruktury informacji przestrzennej i udostępniania danych z tematu ‘zagospodarowanie przestrzenne’ dzięki wsparciu </w:t>
            </w:r>
            <w:r w:rsidRPr="005D47F9">
              <w:rPr>
                <w:sz w:val="20"/>
                <w:szCs w:val="20"/>
              </w:rPr>
              <w:lastRenderedPageBreak/>
              <w:t>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</w:t>
            </w:r>
            <w:r>
              <w:rPr>
                <w:sz w:val="20"/>
                <w:szCs w:val="20"/>
              </w:rPr>
              <w:lastRenderedPageBreak/>
              <w:t>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projektów planów zagospodarowania przestrzennego polskich obszarów morskich – porty w obszarze kompetencji Dyrektora Urzędu </w:t>
            </w:r>
            <w:r>
              <w:rPr>
                <w:sz w:val="20"/>
                <w:szCs w:val="20"/>
              </w:rPr>
              <w:lastRenderedPageBreak/>
              <w:t>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zagospodarowania przestrzennego obszarów morskich, w tym </w:t>
            </w:r>
            <w:r>
              <w:rPr>
                <w:szCs w:val="20"/>
              </w:rPr>
              <w:lastRenderedPageBreak/>
              <w:t>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raportów obejmujących „najlepsze praktyki” 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„pogłębionych wizyt studyjnych” („job shadowing”), na których zostaną zebrane najlepsze praktyki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</w:t>
            </w:r>
            <w:r w:rsidRPr="00CD053D">
              <w:rPr>
                <w:b/>
                <w:sz w:val="20"/>
                <w:szCs w:val="20"/>
              </w:rPr>
              <w:lastRenderedPageBreak/>
              <w:t>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zagospodarowania przestrzennego obszarów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0B62FC" w:rsidRPr="00C356D4" w:rsidRDefault="000B62F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0B62FC" w:rsidRPr="00CD053D" w:rsidRDefault="000B62FC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0B62FC" w:rsidRPr="00CD053D" w:rsidRDefault="000B62FC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t xml:space="preserve">Podnoszenie kompetencji cyfrowych e-administracji – działania edukacyjno-szkoleniowe dla użytkowników infrastruktury informacji </w:t>
            </w:r>
            <w:r w:rsidRPr="000B62FC">
              <w:rPr>
                <w:b/>
                <w:sz w:val="20"/>
                <w:szCs w:val="20"/>
              </w:rPr>
              <w:lastRenderedPageBreak/>
              <w:t>przestrzennej – etap II.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2FC" w:rsidRDefault="000B62F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przygotowani do opracowywania aktów planistycznych oraz monitorowania zjawisk przestrzennych w oparciu o dane znajdujące się w systemach informacji przestrzennej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geoinformacji, monitoringu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 i udostępniania danych z tematu ‘zagospodarowanie przestrzenne’ dzięki wsparciu EFS.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pracowników administracji publicznej wykonujących zadania z zakresu planowania i zagospodarowania przestrzennego lub zagadnień geodezyjnych i kartograficznych objętych wsparciem szkoleniowym</w:t>
            </w:r>
          </w:p>
          <w:p w:rsidR="000B62FC" w:rsidRP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zakresie geoinformacji, monitoringu Infrastruktury Informacji Przestrzennej i udostępniania danych przestrzennych.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704340" w:rsidRPr="00C356D4" w:rsidRDefault="0070434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Działanie 2.20 Wysokiej jakości dialog społeczny w zakresie dostosowania systemów edukacji i szkolenia do potrzeb rynku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04340" w:rsidRPr="00704340" w:rsidRDefault="00704340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W KSZTAŁTOWANIU STRATEGII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UMIEJĘTNOŚCI I ROZWOJU KAPITAŁU LUDZKIEGO.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340" w:rsidRPr="00704340" w:rsidRDefault="00704340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</w:t>
            </w:r>
            <w:r w:rsidRPr="00704340">
              <w:rPr>
                <w:rFonts w:asciiTheme="minorHAnsi" w:hAnsiTheme="minorHAnsi" w:cstheme="minorHAnsi"/>
                <w:szCs w:val="20"/>
              </w:rPr>
              <w:lastRenderedPageBreak/>
              <w:t>ch na portalu internetowym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lastRenderedPageBreak/>
              <w:t>1. (21)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E2415" w:rsidRPr="00C356D4" w:rsidTr="00877722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E2415" w:rsidRPr="00C356D4" w:rsidTr="00877722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(jst)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083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0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86F25" w:rsidRPr="00C356D4" w:rsidRDefault="00786F2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86F25" w:rsidRPr="00C864C8" w:rsidRDefault="00786F2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86F25" w:rsidRPr="00C864C8" w:rsidRDefault="00786F2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786F25" w:rsidRPr="00176899" w:rsidRDefault="00786F2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86F25" w:rsidRPr="004C1A3E" w:rsidRDefault="00786F2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6F25" w:rsidRPr="00176899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86F25" w:rsidRPr="00771B82" w:rsidRDefault="00786F2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86F25" w:rsidRPr="00A36D33" w:rsidRDefault="00786F2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86F25" w:rsidRPr="00786F25" w:rsidRDefault="00786F2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86F25" w:rsidRPr="00A36D33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5774B4" w:rsidRDefault="00786F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E06C6C" w:rsidRPr="00C864C8" w:rsidRDefault="00E06C6C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937DE8" w:rsidRDefault="00E06C6C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3E2415" w:rsidRPr="003D5C51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3E2415" w:rsidRPr="003D5C51" w:rsidTr="00877722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6C6C" w:rsidRPr="001E2C06" w:rsidRDefault="00E06C6C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E4E69" w:rsidRDefault="006E4E6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4E69" w:rsidRPr="00C639F2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E4E69" w:rsidRPr="001E2C06" w:rsidRDefault="006E4E69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4E69" w:rsidRPr="001E2C06" w:rsidRDefault="006E4E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E4E69" w:rsidRPr="001E2C06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E4E69" w:rsidRPr="001E2C06" w:rsidRDefault="006E4E69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osób objętych wsparciem EFS w ramach programów kształcenia o profilu  ogólnoakademickim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E4E69" w:rsidRPr="001E2C06" w:rsidRDefault="006E4E69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14166" w:rsidRDefault="0071416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14166" w:rsidRPr="00C639F2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14166" w:rsidRDefault="0071416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714166" w:rsidRPr="001E2C0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1416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14166" w:rsidRPr="001E2C06" w:rsidRDefault="00714166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 w:rsidR="00877722"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714166" w:rsidRPr="001E2C06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1E2C06" w:rsidRDefault="0071416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14166" w:rsidRDefault="0071416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877722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877722" w:rsidRDefault="0087772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7722" w:rsidRPr="00C639F2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7722" w:rsidRPr="00714166" w:rsidRDefault="00877722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7722">
              <w:rPr>
                <w:rFonts w:ascii="Arial" w:hAnsi="Arial" w:cs="Arial"/>
                <w:b/>
                <w:sz w:val="16"/>
                <w:szCs w:val="16"/>
              </w:rPr>
              <w:t>Wsparcie kształcenia w zakresie projektowania uniwersalnego</w:t>
            </w:r>
          </w:p>
        </w:tc>
        <w:tc>
          <w:tcPr>
            <w:tcW w:w="0" w:type="auto"/>
            <w:shd w:val="clear" w:color="auto" w:fill="auto"/>
          </w:tcPr>
          <w:p w:rsidR="00877722" w:rsidRPr="001E2C06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877722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877722" w:rsidRPr="00714166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1E2C06" w:rsidRDefault="00877722" w:rsidP="00143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77722" w:rsidRDefault="00877722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2019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E06C6C" w:rsidRPr="001E2C06" w:rsidRDefault="00E06C6C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3E2415" w:rsidRPr="003D5C51" w:rsidTr="00877722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225FA" w:rsidRDefault="004225FA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225FA" w:rsidRPr="00C639F2" w:rsidRDefault="004225FA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225FA" w:rsidRPr="00347071" w:rsidRDefault="004225FA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225FA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25FA" w:rsidRPr="001E0959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4225FA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225FA" w:rsidRPr="0064741D" w:rsidRDefault="004225FA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225FA" w:rsidRDefault="004225FA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5E01F5" w:rsidRDefault="005E01F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E01F5" w:rsidRPr="00C639F2" w:rsidRDefault="005E01F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1F5" w:rsidRPr="001E0959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5E01F5" w:rsidRPr="0064741D" w:rsidRDefault="005E01F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5E01F5" w:rsidRDefault="005E01F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3E2415" w:rsidRPr="003D5C51" w:rsidTr="00877722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Jednolitego Systemu Antyplagiatowego i jego wdrożenie oraz obsługa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E06C6C" w:rsidRPr="001E2C06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przygotowanych centralnych systemów antyplagiatowych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E06C6C" w:rsidRPr="001E2C06" w:rsidRDefault="00E06C6C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E06C6C" w:rsidRPr="001E2C06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A51AB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AC7B37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E06C6C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B232B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C2094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E06C6C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06C6C" w:rsidRPr="007A05C0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E06C6C" w:rsidRPr="00250AFC" w:rsidRDefault="00E06C6C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50AF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>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A05C0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E06C6C" w:rsidRPr="00F62F46" w:rsidRDefault="00E06C6C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A05C0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56B7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556B7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DD0B7A" w:rsidRDefault="00E06C6C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B3376A" w:rsidRDefault="00E06C6C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2B1F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3E2415" w:rsidRPr="00C356D4" w:rsidTr="00877722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3E2415" w:rsidRPr="00C356D4" w:rsidTr="00877722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3E2415" w:rsidRPr="00C356D4" w:rsidTr="00877722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77800" w:rsidRDefault="00E06C6C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E06C6C" w:rsidRPr="00E2308B" w:rsidRDefault="00E06C6C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3E2415" w:rsidRPr="00C356D4" w:rsidTr="00877722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315C6" w:rsidRDefault="00E06C6C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E06C6C" w:rsidRDefault="00E06C6C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387DCF" w:rsidRDefault="00E06C6C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EB2ADA" w:rsidRDefault="00E06C6C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21B4D" w:rsidRDefault="00E06C6C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Default="00E06C6C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3E2415" w:rsidRPr="00C356D4" w:rsidTr="00877722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1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1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E06C6C" w:rsidRPr="00CA35D4" w:rsidRDefault="00E06C6C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E06C6C" w:rsidRDefault="00E06C6C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E06C6C" w:rsidRPr="00B3376A" w:rsidRDefault="00E06C6C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3E2415" w:rsidRPr="00C356D4" w:rsidTr="00877722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06434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warmińsko-mazurskeigo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33676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93367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4DBA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E06C6C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E06C6C" w:rsidRPr="003134C4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E06C6C" w:rsidRPr="00854DB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54DBA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A1370F" w:rsidRDefault="00E06C6C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E06C6C" w:rsidRPr="00831855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0C6CCC" w:rsidRDefault="00E06C6C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KOWEZiU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E06C6C" w:rsidRPr="000C6CC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C6CC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6B5101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E06C6C" w:rsidRPr="00F06354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77FC6" w:rsidRDefault="00E06C6C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realizacji badań panelowych osób w wieku 50 lat i więcej w międzynarodowym projekcie Survey of Health, Ageing and Retirement in Europe (SHARE)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7235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E7235D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Białystiok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573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niepełnosprawnościoami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>Departament Pomocy i Integracji Społecznej, MRPiPS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E06C6C" w:rsidRPr="00032EF8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032EF8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9D3971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E06C6C" w:rsidRPr="00344D47">
              <w:rPr>
                <w:rFonts w:cs="Arial"/>
                <w:sz w:val="12"/>
                <w:szCs w:val="12"/>
              </w:rPr>
              <w:t>75%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E06C6C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32EF8" w:rsidRDefault="00E06C6C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06C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5245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9B29DC">
              <w:rPr>
                <w:rFonts w:ascii="Arial" w:hAnsi="Arial" w:cs="Arial"/>
                <w:sz w:val="18"/>
                <w:szCs w:val="18"/>
              </w:rPr>
              <w:t>.201</w:t>
            </w:r>
            <w:r w:rsidR="00E06C6C"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A22EF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E06C6C" w:rsidRPr="00C02140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B6481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E06C6C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C6C5A" w:rsidRDefault="00E06C6C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E06C6C" w:rsidRPr="001C6C5A" w:rsidRDefault="00E06C6C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E06C6C" w:rsidRPr="001C6C5A" w:rsidRDefault="00E06C6C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</w:t>
            </w:r>
            <w:r w:rsidR="000730A1">
              <w:rPr>
                <w:rFonts w:ascii="Arial" w:hAnsi="Arial" w:cs="Arial"/>
                <w:sz w:val="18"/>
                <w:szCs w:val="18"/>
              </w:rPr>
              <w:t>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0730A1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0730A1" w:rsidRPr="00EE7B93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1315C6" w:rsidRDefault="000730A1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E06C6C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495466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E06C6C" w:rsidRPr="00C02140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E06C6C" w:rsidRPr="00495466" w:rsidRDefault="00E06C6C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E06C6C" w:rsidRPr="00495466" w:rsidRDefault="00E06C6C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E06C6C" w:rsidRPr="0049546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E06C6C" w:rsidRPr="001315C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E06C6C" w:rsidRPr="007D32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E06C6C" w:rsidRPr="00A12F2E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E06C6C" w:rsidRPr="00D17028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17028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319C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D17028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7D326C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E06C6C" w:rsidRPr="00D17028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7D32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 w:rsidR="00DA0ADB"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 w:rsidR="00DF034F"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 w:rsidR="00DF034F"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454182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E06C6C" w:rsidRPr="007D326C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F4616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45418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E06C6C" w:rsidRPr="007D32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E06C6C" w:rsidRPr="007D326C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E06C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E06C6C" w:rsidRPr="007D32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  <w:p w:rsidR="00E06C6C" w:rsidRPr="008C4E80" w:rsidRDefault="00E06C6C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E06C6C" w:rsidRPr="008C4E8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00B8" w:rsidRDefault="004400B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400B8" w:rsidRPr="00736E86" w:rsidRDefault="004E3EE4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E3EE4" w:rsidRPr="004E3EE4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00B8" w:rsidRPr="00736E86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00B8" w:rsidRDefault="004E3EE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400B8" w:rsidRDefault="000C758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00B8" w:rsidRPr="00736E86" w:rsidRDefault="004E3EE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Default="004400B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00B8" w:rsidRDefault="004E3EE4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3E2415" w:rsidRPr="00C356D4" w:rsidTr="00877722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E06C6C" w:rsidRPr="007D326C" w:rsidRDefault="00E06C6C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 objętych wsparciem w ramach programów mobilności ponadnarodowej, zamieszkujących obszary defaworyzowane.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5168" w:rsidRDefault="00E06C6C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C85168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E06C6C" w:rsidRPr="00C85168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E06C6C" w:rsidRDefault="00E06C6C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125F97" w:rsidRDefault="00E06C6C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25F97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E06C6C" w:rsidRPr="00125F97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E06C6C" w:rsidRPr="00DA7E4F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3E2415" w:rsidRPr="00C356D4" w:rsidTr="00877722">
        <w:trPr>
          <w:trHeight w:val="6250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E06C6C" w:rsidRDefault="00E06C6C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6B783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E06C6C" w:rsidRPr="006B7835" w:rsidRDefault="00E06C6C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6B7835" w:rsidRDefault="00E06C6C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030FB8" w:rsidRDefault="00E06C6C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E06C6C" w:rsidRPr="00D83A0E" w:rsidRDefault="00E06C6C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 w:rsidR="00E06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30FB8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E06C6C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 w:rsidR="006B7835"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 w:rsidR="006B7835"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77C52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>Departament Wdrażania Europejskiego Funduszu Społecznego, 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E06C6C" w:rsidRPr="00484B56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E06C6C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>Liczba instytucji w których pilotażowo wdrożono model współpracy międzysektorowej na rzecz równości szans płci</w:t>
            </w:r>
          </w:p>
          <w:p w:rsidR="00E06C6C" w:rsidRPr="00F62F4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E06C6C" w:rsidRPr="00F62F46" w:rsidRDefault="00E06C6C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</w:t>
            </w:r>
            <w:r w:rsidRPr="00F62F46">
              <w:rPr>
                <w:sz w:val="18"/>
                <w:szCs w:val="18"/>
              </w:rPr>
              <w:lastRenderedPageBreak/>
              <w:t>rekomendacji w zakresie równości szans płci w ramach wojewódzkich strategii w zakresie polityki społecznej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E06C6C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Opracowany model współpracy </w:t>
            </w:r>
            <w:r w:rsidRPr="00F62F46">
              <w:rPr>
                <w:sz w:val="18"/>
                <w:szCs w:val="18"/>
              </w:rPr>
              <w:lastRenderedPageBreak/>
              <w:t>międzysektorowej na rzecz równości szans płci</w:t>
            </w:r>
          </w:p>
          <w:p w:rsidR="00E06C6C" w:rsidRPr="00154EAB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E06C6C" w:rsidRPr="00221B2A" w:rsidRDefault="00E06C6C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814438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154EAB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E06C6C" w:rsidRDefault="00E06C6C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21B2A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E06C6C" w:rsidRPr="00D26020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nauczania wraz ze scenariuszami lekcji.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E06C6C" w:rsidRPr="00585D27" w:rsidRDefault="00E06C6C" w:rsidP="00585D27"/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Pr="00585D27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C3638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C230A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423976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„Argo - Top Public Executive, zagraniczne 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Krajowa Szkoła Administracji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</w:t>
            </w:r>
            <w:r w:rsidRPr="00B21A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osób, które nabyły kompetencje zawodowe lub kluczowe po opuszczeniu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programu</w:t>
            </w:r>
          </w:p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B21A4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</w:t>
            </w:r>
            <w:r w:rsidRPr="002379F7"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06C6C" w:rsidRPr="001C1D2E" w:rsidRDefault="00E06C6C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kadry kierowniczej systemu oświaty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11388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interesariuszy systemu na poziomie krajowym i regionalnym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E5F56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nadających kwalifikacje i zapewniających jakość nadawania kwalifikacji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cząstkowych spoza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systemu oświaty i szkolnictwa wyższego wpisanych do ZRK</w:t>
            </w:r>
          </w:p>
          <w:p w:rsidR="00E06C6C" w:rsidRPr="00C57FA7" w:rsidRDefault="00E06C6C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E06C6C" w:rsidRPr="00C11388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Spraw Osób Niepełnosprawnych w 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lastRenderedPageBreak/>
              <w:t>Liczba wypracowanych instrumentów wspierających zatrudnienie i utrzymanie się na rynku pracy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E06C6C" w:rsidRPr="00C57FA7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 xml:space="preserve">Liczba wdrożonych instrumentów, wspierających zatrudnienie i utrzymanie się na </w:t>
            </w:r>
            <w:r w:rsidRPr="004B3EC0">
              <w:rPr>
                <w:rFonts w:ascii="Arial" w:hAnsi="Arial" w:cs="Arial"/>
                <w:sz w:val="18"/>
                <w:szCs w:val="18"/>
              </w:rPr>
              <w:lastRenderedPageBreak/>
              <w:t>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D0F24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D0F24" w:rsidRDefault="00E06C6C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partnerami zagranicznymi w programie wdrożyły nowe rozwiązania w zakresie tutoringu</w:t>
            </w:r>
          </w:p>
          <w:p w:rsidR="00E06C6C" w:rsidRPr="004B3EC0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Grudzień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Grudzień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Wymiana informacji i doświadczeń dotyczących ekosystemów innowacji z wykorzystaniem doświadczeń partnerów 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instytucji, które dzięki  współpracy z partnerami zagranicznymi w programie wdrożyły nowe rozwiązania w zakresie tutoringu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746FD" w:rsidRDefault="00E06C6C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podniosły kompetencje w zakresie  znajomości języka obcego.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defaworyzowanych, o malej gęstości zaludnienia (zgodnie z klasyfikacją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E06C6C" w:rsidRDefault="00E06C6C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3407E" w:rsidRDefault="00E06C6C" w:rsidP="009A6F6A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sz w:val="18"/>
                <w:szCs w:val="18"/>
              </w:rPr>
              <w:t xml:space="preserve">Wojewódzki Urząd Pracy w Opolu </w:t>
            </w:r>
          </w:p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C1FF9" w:rsidRDefault="00E06C6C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Powiatowych Urzędów Pracy województwa opolskiego </w:t>
            </w:r>
          </w:p>
          <w:p w:rsidR="00E06C6C" w:rsidRPr="007E6FE0" w:rsidRDefault="00E06C6C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E6FE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kwartał 2018 </w:t>
            </w:r>
          </w:p>
          <w:p w:rsidR="00E06C6C" w:rsidRPr="007E6FE0" w:rsidRDefault="00E06C6C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poniżej 30 lat z niepełnosprawnościami objętych wsparciem w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D844D0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lastRenderedPageBreak/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E06C6C" w:rsidRPr="0026166A" w:rsidRDefault="00E06C6C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Projekty pozakonkursowe miejskiego oraz powiatowych urzędów pracy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Wojewódzki Urząd Pracy w Kielcach pełniący funkcję Instytucji Pośrednicz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</w:r>
            <w:r w:rsidRPr="00BE267B">
              <w:rPr>
                <w:sz w:val="18"/>
                <w:szCs w:val="18"/>
                <w:lang w:val="pl-PL"/>
              </w:rPr>
              <w:lastRenderedPageBreak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FD08E5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  <w:r w:rsidR="0036001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CA2057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F977F6" w:rsidRDefault="00992AB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Default="00992ABE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 xml:space="preserve">Podnoszenie kompetencji służb bezpieczeństwa państwa, pracowników </w:t>
            </w:r>
            <w:r w:rsidRPr="00A70529">
              <w:rPr>
                <w:sz w:val="18"/>
                <w:szCs w:val="18"/>
                <w:lang w:val="pl-PL"/>
              </w:rPr>
              <w:lastRenderedPageBreak/>
              <w:t>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A70529" w:rsidRDefault="002B4454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</w:t>
            </w:r>
            <w:r w:rsidR="00992ABE" w:rsidRPr="0082647B">
              <w:rPr>
                <w:rFonts w:ascii="Arial" w:hAnsi="Arial" w:cs="Arial"/>
                <w:sz w:val="18"/>
                <w:szCs w:val="18"/>
              </w:rPr>
              <w:t>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</w:t>
            </w:r>
            <w:r w:rsidR="000367A9">
              <w:rPr>
                <w:sz w:val="18"/>
                <w:szCs w:val="18"/>
                <w:lang w:val="pl-PL"/>
              </w:rPr>
              <w:t>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92ABE" w:rsidRPr="005D4915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992ABE" w:rsidRPr="00BE267B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F977F6" w:rsidRDefault="000367A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 xml:space="preserve">Poddziałanie 1.1.1 </w:t>
            </w: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0367A9" w:rsidRPr="00A7052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(w nawiasie należy wskazać cyfrą rzymską kolejny numer projektu realizowany </w:t>
            </w:r>
            <w:r w:rsidRPr="000367A9">
              <w:rPr>
                <w:sz w:val="18"/>
                <w:szCs w:val="18"/>
                <w:lang w:val="pl-PL"/>
              </w:rPr>
              <w:lastRenderedPageBreak/>
              <w:t>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lastRenderedPageBreak/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111 195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 xml:space="preserve">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93 715 </w:t>
            </w:r>
            <w:r w:rsidRPr="000367A9">
              <w:rPr>
                <w:sz w:val="18"/>
                <w:szCs w:val="18"/>
                <w:lang w:val="pl-PL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0367A9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P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2C81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838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12-2019</w:t>
            </w:r>
          </w:p>
          <w:p w:rsidR="000367A9" w:rsidRPr="000367A9" w:rsidRDefault="000367A9" w:rsidP="000367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Funkcjonujący Zintegrowany Rejestr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2EEB" w:rsidRPr="00002C81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Nowa jakość zawodowych egzaminów w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F92EEB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Odsetek kwalifikacji, dla których przeprowadzono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egzamin z wykorzystaniem opracowanych w programie zadań egzaminacyjnych</w:t>
            </w:r>
          </w:p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lastRenderedPageBreak/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 xml:space="preserve">styczeń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 xml:space="preserve">kwiecień </w:t>
            </w:r>
            <w:r w:rsidRPr="000E24C9">
              <w:rPr>
                <w:rFonts w:ascii="Arial" w:hAnsi="Arial" w:cs="Arial"/>
                <w:sz w:val="18"/>
                <w:szCs w:val="18"/>
              </w:rPr>
              <w:lastRenderedPageBreak/>
              <w:t>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A0771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EA6" w:rsidRP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6EA6" w:rsidRDefault="00A0771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 w:rsidR="00A07714"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A0771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F977F6" w:rsidRDefault="00DE74E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DE74E4" w:rsidRDefault="00DE74E4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82647B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poradni psychologiczno-pedagogicznych przeszkolonych ze stosowania narzędzi do pracy z uczniami o specjalnych potrzebach edukacyjnych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Pr="00DE74E4" w:rsidRDefault="00DE74E4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977F6" w:rsidRDefault="00D213E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D213E9" w:rsidRDefault="00D213E9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Stawiam na przyszłość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Ministerstwo Rodziny, Pracy i Polityki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Komenda Główna Ochotniczych Hufców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programu.</w:t>
            </w:r>
          </w:p>
          <w:p w:rsid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pracujących, znajdujących się w trudnej sytuacji na rynku pracy,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120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76" w:rsidRPr="00276B2C" w:rsidRDefault="0025157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Instytut Matki I Dziecka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251576" w:rsidRPr="007C0DF9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 xml:space="preserve">z partnerem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251576" w:rsidRPr="00A36D33" w:rsidRDefault="00251576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inwestycyjno – budowalnych i planowania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przestrzennego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 xml:space="preserve">– działania edukacyjno-szkoleniowe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1.Liczba opracowanych programów edukacyjno-szkoleniowych ukierunkowanych na podnoszenie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kompetencji i wiedzy w zakresie wdrażania infrastruktury informacji przestrzennej.</w:t>
            </w:r>
          </w:p>
          <w:p w:rsidR="00AA6715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geoinformacji, monitoringu Infrastruktury Informacji 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F977F6" w:rsidRDefault="00AC1CD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4A45B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4A45B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Del="002B4454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DB588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F7100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1CD4" w:rsidRPr="00AF7100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F977F6" w:rsidRDefault="00E21D4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mobilności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E21D43" w:rsidRDefault="00E21D4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lastRenderedPageBreak/>
              <w:t>AKADEMIA ZARZĄDZAN</w:t>
            </w:r>
            <w:r w:rsidRPr="00E21D43">
              <w:rPr>
                <w:sz w:val="18"/>
                <w:szCs w:val="18"/>
                <w:lang w:val="pl-PL"/>
              </w:rPr>
              <w:lastRenderedPageBreak/>
              <w:t>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4 935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F7100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kompetencje zawodowe lub kluczowe po opuszczeniu programu</w:t>
            </w:r>
          </w:p>
          <w:p w:rsidR="00E21D43" w:rsidRPr="00A36D33" w:rsidRDefault="00E21D43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C466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 xml:space="preserve">II kwartał 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12.20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06.20</w:t>
            </w:r>
            <w:r w:rsidRPr="00E21D43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lastRenderedPageBreak/>
              <w:t xml:space="preserve">„Argo - Top Public Executive, </w:t>
            </w:r>
            <w:r w:rsidRPr="00A0035B">
              <w:rPr>
                <w:sz w:val="18"/>
                <w:szCs w:val="18"/>
                <w:lang w:val="pl-PL"/>
              </w:rPr>
              <w:lastRenderedPageBreak/>
              <w:t>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Krajowa Szkoła Administra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cji 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Grudzień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DB588A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ramach programów mobilności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ponadnarodowej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poziom 2 i 3 wg klasyfikacji DEGURBA   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341DF9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6030F" w:rsidRP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A07714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7714" w:rsidRP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F977F6" w:rsidRDefault="003446A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3446AE" w:rsidRDefault="003446AE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 xml:space="preserve">Projekty powiatowych urzędów pracy współfinansowane z Europejskiego Funduszu Społecznego w ramach Osi priorytetowej I </w:t>
            </w:r>
            <w:r w:rsidRPr="003446AE">
              <w:rPr>
                <w:sz w:val="18"/>
                <w:szCs w:val="18"/>
                <w:lang w:val="pl-PL"/>
              </w:rPr>
              <w:lastRenderedPageBreak/>
              <w:t>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lastRenderedPageBreak/>
              <w:t>Instytucja Pośrednicząca</w:t>
            </w:r>
          </w:p>
          <w:p w:rsidR="003446AE" w:rsidRDefault="003446AE" w:rsidP="003446AE">
            <w:pPr>
              <w:rPr>
                <w:lang w:eastAsia="pl-PL"/>
              </w:rPr>
            </w:pPr>
          </w:p>
          <w:p w:rsidR="003446AE" w:rsidRPr="00A36D33" w:rsidRDefault="003446AE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3446AE" w:rsidRPr="003446AE" w:rsidRDefault="003446AE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A36D33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3446AE" w:rsidRP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P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09191C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B94677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F977F6" w:rsidRDefault="00CD31E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 xml:space="preserve">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P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977F6" w:rsidRDefault="00F4125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osób młodych pozostających bez pracy na regionalnym rynku pracy – projekty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pozakonkursowe</w:t>
            </w:r>
          </w:p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F4125C" w:rsidRPr="00987102" w:rsidRDefault="00F4125C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F1D28" w:rsidRDefault="00F4125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Realizacja projektów przez powiatowe urzędy pracy działające na terenie województwa pomorskiego.</w:t>
            </w:r>
          </w:p>
          <w:p w:rsidR="00F4125C" w:rsidRPr="00F4125C" w:rsidRDefault="00F4125C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Aktywizacja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A36D33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P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30%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Pr="00987102" w:rsidRDefault="00F4125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F977F6" w:rsidRDefault="00DD404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6C229B" w:rsidRDefault="00DD404D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 xml:space="preserve">regionalnym rynku pracy – projekty pozakonkursowe </w:t>
            </w:r>
          </w:p>
          <w:p w:rsidR="00DD404D" w:rsidRPr="00CC2DC4" w:rsidRDefault="00DD404D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CF1D28" w:rsidRDefault="00DD404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X (wpisać nazwę odpowiednieg</w:t>
            </w: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Default="005271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Pr="00A36D33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bezrobotnych (łącznie z długotrwale bezrobotnymi)   objętych wsparciem w programie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Pr="00DD404D" w:rsidRDefault="00DD404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 w:rsidR="00FD5A74"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977F6" w:rsidRDefault="00FD5A7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  <w:p w:rsidR="00FD5A74" w:rsidRPr="006C229B" w:rsidRDefault="00FD5A74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6C229B" w:rsidRDefault="00FD5A74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Projekty pozakonkursowe miejskiego oraz powiatowych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Kielcach pełniący funkcję Instytucji Pośrednicz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</w:r>
            <w:r w:rsidRPr="00A36D33">
              <w:rPr>
                <w:sz w:val="18"/>
                <w:szCs w:val="18"/>
                <w:lang w:val="pl-PL"/>
              </w:rPr>
              <w:lastRenderedPageBreak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A36D33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Pr="00FD5A74" w:rsidRDefault="00FD5A74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Pr="006C229B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F977F6" w:rsidRDefault="00CF2BA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181FDF" w:rsidRDefault="00CF2BAC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 osób  młodych  pozostających  bez  pracy  </w:t>
            </w:r>
            <w:r w:rsidRPr="00181FDF">
              <w:rPr>
                <w:rFonts w:ascii="Arial" w:hAnsi="Arial" w:cs="Arial"/>
                <w:b/>
                <w:sz w:val="18"/>
                <w:szCs w:val="18"/>
              </w:rPr>
              <w:lastRenderedPageBreak/>
              <w:t>na regionalnym rynku pracy – projekty pozakonkursowe</w:t>
            </w:r>
          </w:p>
          <w:p w:rsidR="00CF2BAC" w:rsidRDefault="00CF2BAC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w </w:t>
            </w: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>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Wojewódzki Urząd Pracy w Krakowie – Instytucja Pośrednicząca PO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Pr="00A36D33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P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F977F6" w:rsidRDefault="003B3251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Wsparcie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osób młodych pozostających bez pracy na regionalnym rynku pracy – projekty pozakonkursowe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81FDF" w:rsidRDefault="003B3251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D77C52" w:rsidRDefault="003B3251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młodych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pozostających bez pracy w powiecie bartoszyckim, braniewskim, działdowskim, elbląskim, mieście Elbląg, ełckim, giżyckim, gołdapskim, iławskim, kętrzyńskim, lidzbarskim, mrągowskim, nidzickim, nowomiejskim, oleckim, olsztyńskim, mieście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Olsztyn, ostródzkim, piskim,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Województwo Warmińsko-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Powiatowe urzędy pracy województwa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A36D33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P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FD0A7B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F977F6" w:rsidRDefault="00B209C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811725" w:rsidRDefault="00B209CF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Działanie 1.1 Wsparcie osób młodych pozostających bez pracy na regionalnym rynku pracy - projekty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pozakonkursowe.</w:t>
            </w:r>
          </w:p>
          <w:p w:rsidR="00B209CF" w:rsidRPr="001F3597" w:rsidRDefault="00B209CF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1F3597" w:rsidRDefault="00B209C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Aktywizacja zawodowa osób bezrobotnych w wieku 18-29 lat w ramach projektów pozakonkursowych powiatowy</w:t>
            </w: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lastRenderedPageBreak/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A36D33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P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B209CF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Pr="001F3597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B209CF" w:rsidRPr="00B209CF" w:rsidRDefault="00B209CF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F977F6" w:rsidRDefault="000431C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811725" w:rsidRDefault="000431CD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790C1F" w:rsidRDefault="000431CD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Pr="00A36D33" w:rsidRDefault="000431C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P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F977F6" w:rsidRDefault="00165F4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A36D33" w:rsidRDefault="00165F4B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165F4B" w:rsidRDefault="00165F4B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66C03">
              <w:rPr>
                <w:sz w:val="18"/>
                <w:szCs w:val="18"/>
              </w:rPr>
              <w:t>Powiatowy Urząd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Pr="00A36D33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P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F977F6" w:rsidRDefault="007A501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1.1. Wsparcie osób młodych pozostających bez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 regionalnym rynku pracy – projekty pozakonkursowe</w:t>
            </w:r>
          </w:p>
          <w:p w:rsidR="007A501F" w:rsidRPr="007A501F" w:rsidRDefault="007A501F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4508A8" w:rsidRDefault="007A501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7A501F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P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F977F6" w:rsidRDefault="003E241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h bez pracy na regionalnym rynku pracy– projekty pozakonkursowe</w:t>
            </w:r>
          </w:p>
          <w:p w:rsid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3E241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 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lastRenderedPageBreak/>
              <w:t xml:space="preserve">Wojewódzki Urząd Pracy w </w:t>
            </w:r>
            <w:r w:rsidRPr="00A36D33">
              <w:rPr>
                <w:rFonts w:ascii="Calibri Light" w:hAnsi="Calibri Light"/>
                <w:lang w:val="pl-PL"/>
              </w:rPr>
              <w:lastRenderedPageBreak/>
              <w:t>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A36D33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Pr="009B5740" w:rsidRDefault="009B5740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lastRenderedPageBreak/>
              <w:t>30 %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lastRenderedPageBreak/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5146BB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5146BB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6BB" w:rsidRPr="00DA75A6" w:rsidRDefault="005146BB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Pr="00E1652D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BB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A30F49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  <w:r w:rsidR="00A30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2B6905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="005146BB" w:rsidRPr="005146BB">
              <w:rPr>
                <w:rFonts w:ascii="Arial" w:hAnsi="Arial" w:cs="Arial"/>
                <w:b/>
                <w:sz w:val="18"/>
                <w:szCs w:val="18"/>
              </w:rPr>
              <w:t xml:space="preserve">i przetestowanie ogólnokrajowego, </w:t>
            </w:r>
            <w:r w:rsidR="005146BB" w:rsidRPr="005146BB">
              <w:rPr>
                <w:rFonts w:ascii="Arial" w:hAnsi="Arial" w:cs="Arial"/>
                <w:b/>
                <w:sz w:val="18"/>
                <w:szCs w:val="18"/>
              </w:rPr>
              <w:lastRenderedPageBreak/>
              <w:t>innowacyjnego modelu wsparcia osób z niepełnosp</w:t>
            </w:r>
            <w:r w:rsidR="005146BB">
              <w:rPr>
                <w:rFonts w:ascii="Arial" w:hAnsi="Arial" w:cs="Arial"/>
                <w:b/>
                <w:sz w:val="18"/>
                <w:szCs w:val="18"/>
              </w:rPr>
              <w:t>rawnością w obszarze mobilności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lastRenderedPageBreak/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innowacji przyjętych do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dofinansownia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1000</w:t>
            </w: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Pr="00E1652D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F305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 xml:space="preserve">Zagraniczna mobilność studentów ze specjalnymi </w:t>
            </w:r>
            <w:r w:rsidRPr="00A36D33">
              <w:rPr>
                <w:rFonts w:ascii="Arial" w:hAnsi="Arial" w:cs="Arial"/>
                <w:sz w:val="18"/>
                <w:szCs w:val="18"/>
              </w:rPr>
              <w:lastRenderedPageBreak/>
              <w:t>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A36D33" w:rsidRDefault="00F30529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Pr="00A36D33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2 700</w:t>
            </w: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1 marca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30 czerwiec </w:t>
            </w: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2F6761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dzięki mobilności nabyły wiedzę w zakresie możliwości wykorzystania nowych metod, podejść,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technik nauczania oraz pracy z uczniem.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poziom 2 i 3 wg klasyfikacji DEGURBA.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B36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FE136A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placówek kształcenia i szkolenia zawodowego, którzy wzmocnili zdolności do zatrudnienia poprzez udział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zagranicznych stażach w zakresie kształcenia i szkolenia zawodowego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placówek kształcenia i szkolenia zawodowego, którzy nabyli kompetencje zawodowe lub kluczowe po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FE136A" w:rsidRPr="00A36D33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1436D3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Pr="00F977F6" w:rsidRDefault="001436D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  <w:bookmarkStart w:id="2" w:name="_GoBack" w:colFirst="0" w:colLast="15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Default="001436D3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 xml:space="preserve">Działanie 4.1 Innowacje </w:t>
            </w:r>
            <w:r w:rsidRPr="00DB588A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Default="001436D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Zintegrowan</w:t>
            </w: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y i uspołeczniony model planowania przestrzennego poprzez opracowanie 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Pr="00A36D33" w:rsidRDefault="001436D3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 xml:space="preserve">Województwo </w:t>
            </w:r>
            <w:r>
              <w:rPr>
                <w:sz w:val="18"/>
                <w:szCs w:val="18"/>
              </w:rPr>
              <w:lastRenderedPageBreak/>
              <w:t>Podkarpackie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Default="0088014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13.12.2018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D3" w:rsidRDefault="001436D3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lastRenderedPageBreak/>
              <w:t xml:space="preserve">Województwo </w:t>
            </w:r>
            <w:r w:rsidRPr="003334CE">
              <w:rPr>
                <w:sz w:val="18"/>
                <w:szCs w:val="18"/>
              </w:rPr>
              <w:lastRenderedPageBreak/>
              <w:t>Podkarpackie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lastRenderedPageBreak/>
              <w:t xml:space="preserve">5 387 </w:t>
            </w:r>
            <w:r w:rsidRPr="001210D6">
              <w:rPr>
                <w:rFonts w:ascii="Arial" w:hAnsi="Arial" w:cs="Arial"/>
                <w:sz w:val="18"/>
                <w:szCs w:val="18"/>
              </w:rPr>
              <w:lastRenderedPageBreak/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lastRenderedPageBreak/>
              <w:t xml:space="preserve">5 387 </w:t>
            </w:r>
            <w:r w:rsidRPr="001210D6">
              <w:rPr>
                <w:rFonts w:ascii="Arial" w:hAnsi="Arial" w:cs="Arial"/>
                <w:sz w:val="18"/>
                <w:szCs w:val="18"/>
              </w:rPr>
              <w:lastRenderedPageBreak/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przetestowanych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innowacji społecznych w skali makro</w:t>
            </w: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utworzonych systemów wymiany informacji o przestrzeni pomiędzy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gminami</w:t>
            </w:r>
          </w:p>
          <w:p w:rsidR="001436D3" w:rsidRPr="00F5505E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436D3" w:rsidRPr="00A36D33" w:rsidRDefault="001436D3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36D3" w:rsidRPr="00EC2735" w:rsidRDefault="001436D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1436D3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12.2018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r.</w:t>
            </w:r>
          </w:p>
          <w:p w:rsidR="001436D3" w:rsidRDefault="001436D3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1436D3" w:rsidRDefault="001436D3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1436D3" w:rsidRDefault="001436D3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C20C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6D3" w:rsidRDefault="00C20C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 r.</w:t>
            </w:r>
          </w:p>
        </w:tc>
      </w:tr>
      <w:bookmarkEnd w:id="2"/>
      <w:tr w:rsidR="001A18F2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977F6" w:rsidRDefault="001A18F2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Wysoka jakość polityki na rzecz włączenia społecznego </w:t>
            </w:r>
          </w:p>
          <w:p w:rsidR="001A18F2" w:rsidRPr="00F5505E" w:rsidRDefault="001A18F2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 zawodowego osób niepełnosprawnych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  <w:lang w:val="pl-PL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1A18F2" w:rsidRPr="00374CD4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1A18F2" w:rsidRPr="00374CD4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przeprowadzonych analiz rozwiązań ustawowych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1A18F2" w:rsidRPr="00F5505E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8F2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977F6" w:rsidRDefault="001A18F2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>nych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Włączenie wyłączonych – aktywne instrumenty wsparcia osób niepełnosprawnych na 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  <w:lang w:val="pl-PL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F5505E" w:rsidRDefault="001A18F2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1A18F2" w:rsidRPr="00F5505E" w:rsidRDefault="001A18F2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 xml:space="preserve">Liczba wypracowanych instrumentów wspierających </w:t>
            </w:r>
            <w:r w:rsidRPr="00F5505E">
              <w:rPr>
                <w:rFonts w:eastAsia="Times New Roman"/>
                <w:sz w:val="18"/>
                <w:lang w:val="pl-PL"/>
              </w:rPr>
              <w:lastRenderedPageBreak/>
              <w:t>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18F2" w:rsidRPr="00374CD4" w:rsidRDefault="001A18F2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8F2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977F6" w:rsidRDefault="001A18F2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1A18F2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374CD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Szkolenia dla pracowników 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374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MRPiPS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F2" w:rsidRPr="00F5505E" w:rsidRDefault="00374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F5505E" w:rsidRDefault="00374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pracowników transportu zbiorowego, którzy nabyli kompetencje w zakresie  profesjonalnej obsługi osób o szczególnych potrzebach, w tym osób z niepełnosprawnościami</w:t>
            </w:r>
          </w:p>
          <w:p w:rsidR="00374CD4" w:rsidRPr="00374CD4" w:rsidRDefault="00374CD4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przedsiębiorstw transportu zbiorowego, które wdrożyły standardy w zakresie obsługi osób o szczególnych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>potrzebach, w tym osób z niepełnosprawnościami (koleje, transport miejski)</w:t>
            </w:r>
          </w:p>
          <w:p w:rsidR="00374CD4" w:rsidRPr="00374CD4" w:rsidRDefault="00374CD4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Zestaw standardów obsługi osób o szczególnych potrzebach, w tym osób z niepełnosprawnościami korzystających z transportu zbiorowego (z wzorami procedur)</w:t>
            </w:r>
          </w:p>
          <w:p w:rsidR="00374CD4" w:rsidRPr="00374CD4" w:rsidRDefault="00374CD4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Poradnik dotyczący dostosowania kluczowych typów usług w zakresie transportu zbiorowego do potrzeb osób o szczególnych potrzebach, w tym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osób z niepełnosprawnościami</w:t>
            </w:r>
          </w:p>
          <w:p w:rsidR="00374CD4" w:rsidRPr="00F5505E" w:rsidRDefault="00374CD4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zakresie  profesjonalnej obsługi osób o szczególnych potrzebach, w tym osób z niepełnosprawnościami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74CD4" w:rsidRPr="00374CD4" w:rsidRDefault="00374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 w:rsidR="0014034F"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Pr="00374CD4" w:rsidRDefault="00374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01.04.2019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F2" w:rsidRDefault="001A18F2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34F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Pr="00F977F6" w:rsidRDefault="0014034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Pr="00374CD4" w:rsidRDefault="0014034F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Pr="00374CD4" w:rsidRDefault="0014034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t xml:space="preserve">Sieć współpracy i wymiany doświadczeń urzędników </w:t>
            </w: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>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Pr="00F5505E" w:rsidRDefault="0014034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</w:t>
            </w: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4034F" w:rsidRPr="00374CD4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4F" w:rsidRPr="00374CD4" w:rsidRDefault="0014034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374CD4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374CD4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374CD4" w:rsidRDefault="0014034F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F5505E" w:rsidRDefault="0014034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14034F" w:rsidRDefault="0014034F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 które wdrożyły nowe rozwiązania dzięki współpracy z partnerem zagranicznym</w:t>
            </w:r>
          </w:p>
          <w:p w:rsidR="0014034F" w:rsidRDefault="0014034F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lastRenderedPageBreak/>
              <w:t>Liczba osób, które dokonały wymiany doświadczeń i informacji za pośrednictwem sieci po zakończeniu uczestnictwa w projekcie</w:t>
            </w:r>
          </w:p>
          <w:p w:rsidR="0014034F" w:rsidRPr="0014034F" w:rsidRDefault="0014034F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14034F" w:rsidRPr="00374CD4" w:rsidRDefault="0014034F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40</w:t>
            </w: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4034F" w:rsidRPr="00374CD4" w:rsidRDefault="0014034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374CD4" w:rsidRDefault="007B79D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Pr="00374CD4" w:rsidRDefault="007B79D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4F" w:rsidRDefault="007B79D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8B" w:rsidRDefault="0050068B" w:rsidP="0085573C">
      <w:pPr>
        <w:spacing w:after="0" w:line="240" w:lineRule="auto"/>
      </w:pPr>
      <w:r>
        <w:separator/>
      </w:r>
    </w:p>
  </w:endnote>
  <w:endnote w:type="continuationSeparator" w:id="0">
    <w:p w:rsidR="0050068B" w:rsidRDefault="0050068B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8B" w:rsidRDefault="0050068B" w:rsidP="0085573C">
      <w:pPr>
        <w:spacing w:after="0" w:line="240" w:lineRule="auto"/>
      </w:pPr>
      <w:r>
        <w:separator/>
      </w:r>
    </w:p>
  </w:footnote>
  <w:footnote w:type="continuationSeparator" w:id="0">
    <w:p w:rsidR="0050068B" w:rsidRDefault="0050068B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E3866"/>
    <w:multiLevelType w:val="hybridMultilevel"/>
    <w:tmpl w:val="79FE7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F851DA"/>
    <w:multiLevelType w:val="multilevel"/>
    <w:tmpl w:val="986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293866"/>
    <w:multiLevelType w:val="hybridMultilevel"/>
    <w:tmpl w:val="CD7A5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F63485"/>
    <w:multiLevelType w:val="hybridMultilevel"/>
    <w:tmpl w:val="0AB4EEB2"/>
    <w:lvl w:ilvl="0" w:tplc="1736C71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1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5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82828"/>
    <w:multiLevelType w:val="hybridMultilevel"/>
    <w:tmpl w:val="05889B4A"/>
    <w:lvl w:ilvl="0" w:tplc="9A7C2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9">
    <w:nsid w:val="5A164BA5"/>
    <w:multiLevelType w:val="hybridMultilevel"/>
    <w:tmpl w:val="2436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8945EF"/>
    <w:multiLevelType w:val="hybridMultilevel"/>
    <w:tmpl w:val="BDD2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5473D7"/>
    <w:multiLevelType w:val="hybridMultilevel"/>
    <w:tmpl w:val="19C2A086"/>
    <w:lvl w:ilvl="0" w:tplc="C48A71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1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1"/>
  </w:num>
  <w:num w:numId="3">
    <w:abstractNumId w:val="57"/>
  </w:num>
  <w:num w:numId="4">
    <w:abstractNumId w:val="4"/>
  </w:num>
  <w:num w:numId="5">
    <w:abstractNumId w:val="60"/>
  </w:num>
  <w:num w:numId="6">
    <w:abstractNumId w:val="43"/>
  </w:num>
  <w:num w:numId="7">
    <w:abstractNumId w:val="14"/>
  </w:num>
  <w:num w:numId="8">
    <w:abstractNumId w:val="54"/>
  </w:num>
  <w:num w:numId="9">
    <w:abstractNumId w:val="12"/>
  </w:num>
  <w:num w:numId="10">
    <w:abstractNumId w:val="73"/>
  </w:num>
  <w:num w:numId="11">
    <w:abstractNumId w:val="39"/>
  </w:num>
  <w:num w:numId="12">
    <w:abstractNumId w:val="7"/>
  </w:num>
  <w:num w:numId="13">
    <w:abstractNumId w:val="1"/>
  </w:num>
  <w:num w:numId="14">
    <w:abstractNumId w:val="8"/>
  </w:num>
  <w:num w:numId="15">
    <w:abstractNumId w:val="38"/>
  </w:num>
  <w:num w:numId="16">
    <w:abstractNumId w:val="65"/>
  </w:num>
  <w:num w:numId="17">
    <w:abstractNumId w:val="42"/>
  </w:num>
  <w:num w:numId="18">
    <w:abstractNumId w:val="74"/>
  </w:num>
  <w:num w:numId="19">
    <w:abstractNumId w:val="45"/>
  </w:num>
  <w:num w:numId="20">
    <w:abstractNumId w:val="28"/>
  </w:num>
  <w:num w:numId="21">
    <w:abstractNumId w:val="6"/>
  </w:num>
  <w:num w:numId="22">
    <w:abstractNumId w:val="21"/>
  </w:num>
  <w:num w:numId="23">
    <w:abstractNumId w:val="48"/>
  </w:num>
  <w:num w:numId="24">
    <w:abstractNumId w:val="16"/>
  </w:num>
  <w:num w:numId="25">
    <w:abstractNumId w:val="24"/>
  </w:num>
  <w:num w:numId="26">
    <w:abstractNumId w:val="10"/>
  </w:num>
  <w:num w:numId="27">
    <w:abstractNumId w:val="20"/>
  </w:num>
  <w:num w:numId="28">
    <w:abstractNumId w:val="2"/>
  </w:num>
  <w:num w:numId="29">
    <w:abstractNumId w:val="64"/>
  </w:num>
  <w:num w:numId="30">
    <w:abstractNumId w:val="34"/>
  </w:num>
  <w:num w:numId="31">
    <w:abstractNumId w:val="82"/>
  </w:num>
  <w:num w:numId="32">
    <w:abstractNumId w:val="22"/>
  </w:num>
  <w:num w:numId="33">
    <w:abstractNumId w:val="75"/>
  </w:num>
  <w:num w:numId="34">
    <w:abstractNumId w:val="55"/>
  </w:num>
  <w:num w:numId="35">
    <w:abstractNumId w:val="72"/>
  </w:num>
  <w:num w:numId="36">
    <w:abstractNumId w:val="15"/>
  </w:num>
  <w:num w:numId="37">
    <w:abstractNumId w:val="33"/>
  </w:num>
  <w:num w:numId="38">
    <w:abstractNumId w:val="19"/>
  </w:num>
  <w:num w:numId="39">
    <w:abstractNumId w:val="11"/>
  </w:num>
  <w:num w:numId="40">
    <w:abstractNumId w:val="17"/>
  </w:num>
  <w:num w:numId="41">
    <w:abstractNumId w:val="69"/>
  </w:num>
  <w:num w:numId="42">
    <w:abstractNumId w:val="25"/>
  </w:num>
  <w:num w:numId="43">
    <w:abstractNumId w:val="36"/>
  </w:num>
  <w:num w:numId="44">
    <w:abstractNumId w:val="9"/>
  </w:num>
  <w:num w:numId="45">
    <w:abstractNumId w:val="63"/>
  </w:num>
  <w:num w:numId="46">
    <w:abstractNumId w:val="26"/>
  </w:num>
  <w:num w:numId="47">
    <w:abstractNumId w:val="51"/>
  </w:num>
  <w:num w:numId="48">
    <w:abstractNumId w:val="68"/>
  </w:num>
  <w:num w:numId="49">
    <w:abstractNumId w:val="31"/>
  </w:num>
  <w:num w:numId="50">
    <w:abstractNumId w:val="56"/>
  </w:num>
  <w:num w:numId="51">
    <w:abstractNumId w:val="66"/>
  </w:num>
  <w:num w:numId="52">
    <w:abstractNumId w:val="78"/>
  </w:num>
  <w:num w:numId="53">
    <w:abstractNumId w:val="13"/>
  </w:num>
  <w:num w:numId="54">
    <w:abstractNumId w:val="23"/>
  </w:num>
  <w:num w:numId="55">
    <w:abstractNumId w:val="79"/>
  </w:num>
  <w:num w:numId="56">
    <w:abstractNumId w:val="47"/>
  </w:num>
  <w:num w:numId="57">
    <w:abstractNumId w:val="77"/>
  </w:num>
  <w:num w:numId="58">
    <w:abstractNumId w:val="35"/>
  </w:num>
  <w:num w:numId="59">
    <w:abstractNumId w:val="80"/>
  </w:num>
  <w:num w:numId="60">
    <w:abstractNumId w:val="67"/>
  </w:num>
  <w:num w:numId="61">
    <w:abstractNumId w:val="3"/>
  </w:num>
  <w:num w:numId="62">
    <w:abstractNumId w:val="70"/>
  </w:num>
  <w:num w:numId="63">
    <w:abstractNumId w:val="18"/>
  </w:num>
  <w:num w:numId="64">
    <w:abstractNumId w:val="76"/>
  </w:num>
  <w:num w:numId="65">
    <w:abstractNumId w:val="49"/>
  </w:num>
  <w:num w:numId="66">
    <w:abstractNumId w:val="62"/>
  </w:num>
  <w:num w:numId="67">
    <w:abstractNumId w:val="44"/>
  </w:num>
  <w:num w:numId="68">
    <w:abstractNumId w:val="5"/>
  </w:num>
  <w:num w:numId="69">
    <w:abstractNumId w:val="40"/>
  </w:num>
  <w:num w:numId="70">
    <w:abstractNumId w:val="27"/>
  </w:num>
  <w:num w:numId="71">
    <w:abstractNumId w:val="29"/>
  </w:num>
  <w:num w:numId="72">
    <w:abstractNumId w:val="37"/>
  </w:num>
  <w:num w:numId="73">
    <w:abstractNumId w:val="30"/>
  </w:num>
  <w:num w:numId="74">
    <w:abstractNumId w:val="81"/>
  </w:num>
  <w:num w:numId="75">
    <w:abstractNumId w:val="52"/>
  </w:num>
  <w:num w:numId="76">
    <w:abstractNumId w:val="59"/>
  </w:num>
  <w:num w:numId="77">
    <w:abstractNumId w:val="50"/>
  </w:num>
  <w:num w:numId="78">
    <w:abstractNumId w:val="58"/>
  </w:num>
  <w:num w:numId="79">
    <w:abstractNumId w:val="0"/>
  </w:num>
  <w:num w:numId="80">
    <w:abstractNumId w:val="32"/>
  </w:num>
  <w:num w:numId="81">
    <w:abstractNumId w:val="46"/>
  </w:num>
  <w:num w:numId="82">
    <w:abstractNumId w:val="71"/>
  </w:num>
  <w:num w:numId="83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431CD"/>
    <w:rsid w:val="00051C84"/>
    <w:rsid w:val="00052992"/>
    <w:rsid w:val="00057C3E"/>
    <w:rsid w:val="000604D8"/>
    <w:rsid w:val="00062D08"/>
    <w:rsid w:val="000730A1"/>
    <w:rsid w:val="000807FE"/>
    <w:rsid w:val="00081AA0"/>
    <w:rsid w:val="000820DB"/>
    <w:rsid w:val="00087393"/>
    <w:rsid w:val="00087560"/>
    <w:rsid w:val="000931E3"/>
    <w:rsid w:val="00095F5C"/>
    <w:rsid w:val="000B62FC"/>
    <w:rsid w:val="000C2996"/>
    <w:rsid w:val="000C6D47"/>
    <w:rsid w:val="000C7584"/>
    <w:rsid w:val="000D0F24"/>
    <w:rsid w:val="000D5CCF"/>
    <w:rsid w:val="000F4E9D"/>
    <w:rsid w:val="0010037D"/>
    <w:rsid w:val="001065C8"/>
    <w:rsid w:val="001122F4"/>
    <w:rsid w:val="00124FF3"/>
    <w:rsid w:val="00125F97"/>
    <w:rsid w:val="0014034F"/>
    <w:rsid w:val="001436D3"/>
    <w:rsid w:val="00143C88"/>
    <w:rsid w:val="00154EAB"/>
    <w:rsid w:val="00165F4B"/>
    <w:rsid w:val="00174C4A"/>
    <w:rsid w:val="0017583A"/>
    <w:rsid w:val="00181C74"/>
    <w:rsid w:val="001912B2"/>
    <w:rsid w:val="00193D90"/>
    <w:rsid w:val="00195DCC"/>
    <w:rsid w:val="00196E52"/>
    <w:rsid w:val="001A095E"/>
    <w:rsid w:val="001A18F2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6905"/>
    <w:rsid w:val="002B7DD5"/>
    <w:rsid w:val="002C14D9"/>
    <w:rsid w:val="002D0505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60012"/>
    <w:rsid w:val="003710A6"/>
    <w:rsid w:val="00371789"/>
    <w:rsid w:val="00374CD4"/>
    <w:rsid w:val="00377321"/>
    <w:rsid w:val="00380640"/>
    <w:rsid w:val="00383A28"/>
    <w:rsid w:val="00387DCF"/>
    <w:rsid w:val="00391529"/>
    <w:rsid w:val="00397FE4"/>
    <w:rsid w:val="003A30C0"/>
    <w:rsid w:val="003B2C5A"/>
    <w:rsid w:val="003B3251"/>
    <w:rsid w:val="003D1C78"/>
    <w:rsid w:val="003D5C51"/>
    <w:rsid w:val="003E2415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6980"/>
    <w:rsid w:val="00446BE8"/>
    <w:rsid w:val="00450105"/>
    <w:rsid w:val="00454182"/>
    <w:rsid w:val="004601D5"/>
    <w:rsid w:val="0046030F"/>
    <w:rsid w:val="00461E03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0068B"/>
    <w:rsid w:val="00513DC9"/>
    <w:rsid w:val="005146BB"/>
    <w:rsid w:val="005161DA"/>
    <w:rsid w:val="005237FD"/>
    <w:rsid w:val="005271D4"/>
    <w:rsid w:val="00530B98"/>
    <w:rsid w:val="0053694A"/>
    <w:rsid w:val="0054484F"/>
    <w:rsid w:val="00547A60"/>
    <w:rsid w:val="00556B76"/>
    <w:rsid w:val="00561D5C"/>
    <w:rsid w:val="00562AB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10FE1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B5101"/>
    <w:rsid w:val="006B7835"/>
    <w:rsid w:val="006C24A8"/>
    <w:rsid w:val="006C6F4F"/>
    <w:rsid w:val="006E4E69"/>
    <w:rsid w:val="006F03B7"/>
    <w:rsid w:val="006F289C"/>
    <w:rsid w:val="006F7F8C"/>
    <w:rsid w:val="00704340"/>
    <w:rsid w:val="00713B96"/>
    <w:rsid w:val="00714166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6F25"/>
    <w:rsid w:val="007A05C0"/>
    <w:rsid w:val="007A12DE"/>
    <w:rsid w:val="007A501F"/>
    <w:rsid w:val="007B20EA"/>
    <w:rsid w:val="007B79D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76CBB"/>
    <w:rsid w:val="00877722"/>
    <w:rsid w:val="00880148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0F49"/>
    <w:rsid w:val="00A325B4"/>
    <w:rsid w:val="00A3533F"/>
    <w:rsid w:val="00A36D33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B00C09"/>
    <w:rsid w:val="00B17C75"/>
    <w:rsid w:val="00B209CF"/>
    <w:rsid w:val="00B21A46"/>
    <w:rsid w:val="00B30550"/>
    <w:rsid w:val="00B3376A"/>
    <w:rsid w:val="00B36AF6"/>
    <w:rsid w:val="00B37723"/>
    <w:rsid w:val="00B6481F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20C18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404D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21D43"/>
    <w:rsid w:val="00E2425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77F6"/>
    <w:rsid w:val="00FA2803"/>
    <w:rsid w:val="00FB0EB3"/>
    <w:rsid w:val="00FB4BC2"/>
    <w:rsid w:val="00FC2526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B01A-45BF-4666-9294-F5C403D2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270</Pages>
  <Words>27591</Words>
  <Characters>165546</Characters>
  <Application>Microsoft Office Word</Application>
  <DocSecurity>0</DocSecurity>
  <Lines>1379</Lines>
  <Paragraphs>385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9</cp:revision>
  <cp:lastPrinted>2016-03-24T11:46:00Z</cp:lastPrinted>
  <dcterms:created xsi:type="dcterms:W3CDTF">2018-11-05T09:34:00Z</dcterms:created>
  <dcterms:modified xsi:type="dcterms:W3CDTF">2019-02-04T13:03:00Z</dcterms:modified>
</cp:coreProperties>
</file>