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4" w:rsidRPr="008C1AA4" w:rsidRDefault="008C1AA4">
      <w:pPr>
        <w:rPr>
          <w:rFonts w:cstheme="minorHAnsi"/>
          <w:b/>
          <w:bCs/>
          <w:color w:val="000000"/>
        </w:rPr>
      </w:pPr>
      <w:r w:rsidRPr="008C1AA4">
        <w:rPr>
          <w:rFonts w:cstheme="minorHAnsi"/>
          <w:b/>
          <w:bCs/>
          <w:color w:val="000000"/>
        </w:rPr>
        <w:t>Odpowiedzi na najczęś</w:t>
      </w:r>
      <w:bookmarkStart w:id="0" w:name="_GoBack"/>
      <w:bookmarkEnd w:id="0"/>
      <w:r w:rsidRPr="008C1AA4">
        <w:rPr>
          <w:rFonts w:cstheme="minorHAnsi"/>
          <w:b/>
          <w:bCs/>
          <w:color w:val="000000"/>
        </w:rPr>
        <w:t xml:space="preserve">ciej zadawane pytania w konkursie nr POWR.04.01.00-IZ.00-00-021/18 </w:t>
      </w:r>
      <w:proofErr w:type="gramStart"/>
      <w:r w:rsidRPr="008C1AA4">
        <w:rPr>
          <w:rFonts w:cstheme="minorHAnsi"/>
          <w:b/>
          <w:bCs/>
          <w:color w:val="000000"/>
        </w:rPr>
        <w:t>w</w:t>
      </w:r>
      <w:proofErr w:type="gramEnd"/>
      <w:r w:rsidRPr="008C1AA4">
        <w:rPr>
          <w:rFonts w:cstheme="minorHAnsi"/>
          <w:b/>
          <w:bCs/>
          <w:color w:val="000000"/>
        </w:rPr>
        <w:t xml:space="preserve"> temacie Przestrzeń dostępnej szkoły, Działanie 4.1 Innowacje społeczne, część III</w:t>
      </w:r>
    </w:p>
    <w:p w:rsidR="00F1558B" w:rsidRPr="008C1AA4" w:rsidRDefault="008C1AA4">
      <w:pPr>
        <w:rPr>
          <w:rFonts w:cstheme="minorHAnsi"/>
        </w:rPr>
      </w:pPr>
      <w:r w:rsidRPr="008C1AA4">
        <w:rPr>
          <w:rFonts w:cstheme="minorHAnsi"/>
          <w:b/>
          <w:bCs/>
          <w:color w:val="000000"/>
        </w:rPr>
        <w:t xml:space="preserve">Czy każda z przyjętych do projektu szkół, która otrzymała grant musi wdrożyć model w 100%, czy też możliwe jest </w:t>
      </w:r>
      <w:proofErr w:type="gramStart"/>
      <w:r w:rsidRPr="008C1AA4">
        <w:rPr>
          <w:rFonts w:cstheme="minorHAnsi"/>
          <w:b/>
          <w:bCs/>
          <w:color w:val="000000"/>
        </w:rPr>
        <w:t>np. że</w:t>
      </w:r>
      <w:proofErr w:type="gramEnd"/>
      <w:r w:rsidRPr="008C1AA4">
        <w:rPr>
          <w:rFonts w:cstheme="minorHAnsi"/>
          <w:b/>
          <w:bCs/>
          <w:color w:val="000000"/>
        </w:rPr>
        <w:t xml:space="preserve"> szkoła o 1 stopniu dojrzałości (na 3 możliwe stopnie, gdzie 3 oznacza rozwiązanie modelowe) w ramach grantu osiągnie 2 stopień dojrzałości?</w:t>
      </w:r>
      <w:r w:rsidRPr="008C1AA4">
        <w:rPr>
          <w:rFonts w:cstheme="minorHAnsi"/>
          <w:color w:val="000000"/>
        </w:rPr>
        <w:br/>
        <w:t xml:space="preserve"> Regulamin konkursu zakłada dochodzenie do kolejnych poziomów dojrzałości poprzez realizację indywidualnych planów rozwoju szkoły, które uwzględniają, z jednej strony potrzeby szkoły, a z drugiej dostępne środki w ramach grantu. Dochodzenie szkół do poziomu pełnej dojrzałości w danym aspekcie dostępności jest procesem a jego osiągnięcie może wykraczać poza okres realizacji projektu. Tym samym możliwa jest sytuacja, w której szkoła w projekcie osiąga drugi poziom dojrzałości na trzy możliwe. </w:t>
      </w:r>
      <w:r w:rsidRPr="008C1AA4">
        <w:rPr>
          <w:rFonts w:cstheme="minorHAnsi"/>
          <w:color w:val="000000"/>
        </w:rPr>
        <w:br/>
      </w:r>
      <w:r w:rsidRPr="008C1AA4">
        <w:rPr>
          <w:rFonts w:cstheme="minorHAnsi"/>
          <w:b/>
          <w:bCs/>
          <w:color w:val="000000"/>
        </w:rPr>
        <w:br/>
        <w:t>Jakie standardy dostępności należy uwzględnić w ramach opracowania modelu dostępnej szkoły?</w:t>
      </w:r>
      <w:r w:rsidRPr="008C1AA4">
        <w:rPr>
          <w:rFonts w:cstheme="minorHAnsi"/>
          <w:color w:val="000000"/>
        </w:rPr>
        <w:br/>
        <w:t xml:space="preserve">Określone w modelu poziomy dojrzałości </w:t>
      </w:r>
      <w:proofErr w:type="gramStart"/>
      <w:r w:rsidRPr="008C1AA4">
        <w:rPr>
          <w:rFonts w:cstheme="minorHAnsi"/>
          <w:color w:val="000000"/>
        </w:rPr>
        <w:t>muszą  być</w:t>
      </w:r>
      <w:proofErr w:type="gramEnd"/>
      <w:r w:rsidRPr="008C1AA4">
        <w:rPr>
          <w:rFonts w:cstheme="minorHAnsi"/>
          <w:color w:val="000000"/>
        </w:rPr>
        <w:t xml:space="preserve"> zgodne co najmniej z </w:t>
      </w:r>
      <w:hyperlink r:id="rId5" w:history="1">
        <w:r w:rsidRPr="008C1AA4">
          <w:rPr>
            <w:rFonts w:cstheme="minorHAnsi"/>
            <w:color w:val="0000FF"/>
            <w:u w:val="single"/>
          </w:rPr>
          <w:t xml:space="preserve">załącznikiem nr 2 do </w:t>
        </w:r>
      </w:hyperlink>
      <w:hyperlink r:id="rId6" w:history="1">
        <w:r w:rsidRPr="008C1AA4">
          <w:rPr>
            <w:rFonts w:cstheme="minorHAnsi"/>
            <w:color w:val="0000FF"/>
            <w:u w:val="single"/>
          </w:rPr>
          <w:t xml:space="preserve">"Wytycznych w zakresie realizacji zasady równości szans i niedyskryminacji, w tym dostępności dla osób z niepełnosprawnościami oraz zasady równości szans kobiet i mężczyzn w ramach funduszy unijnych na lata 2014-2020 </w:t>
        </w:r>
      </w:hyperlink>
      <w:r w:rsidRPr="008C1AA4">
        <w:rPr>
          <w:rFonts w:cstheme="minorHAnsi"/>
          <w:color w:val="000000"/>
        </w:rPr>
        <w:t xml:space="preserve">pt.: Standardy dostępności dla polityki spójności 2014-2020". W </w:t>
      </w:r>
      <w:proofErr w:type="gramStart"/>
      <w:r w:rsidRPr="008C1AA4">
        <w:rPr>
          <w:rFonts w:cstheme="minorHAnsi"/>
          <w:color w:val="000000"/>
        </w:rPr>
        <w:t>przypadku gdy</w:t>
      </w:r>
      <w:proofErr w:type="gramEnd"/>
      <w:r w:rsidRPr="008C1AA4">
        <w:rPr>
          <w:rFonts w:cstheme="minorHAnsi"/>
          <w:color w:val="000000"/>
        </w:rPr>
        <w:t xml:space="preserve"> działania podejmowane w ramach indywidualnego planu poprawy dostępności dotyczą bezpośrednio aspektów opisanych w przedmiotowym dokumencie, zgodność ze standardami jest warunkiem uznania wydatków za kwalifikowalne.</w:t>
      </w:r>
    </w:p>
    <w:sectPr w:rsidR="00F1558B" w:rsidRPr="008C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9"/>
    <w:rsid w:val="003C7489"/>
    <w:rsid w:val="008C1AA4"/>
    <w:rsid w:val="00AC4F4F"/>
    <w:rsid w:val="00E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media/54997/Wytyczne_w_zakresie_rownosci_zatwierdzone_050418.pdf" TargetMode="External"/><Relationship Id="rId5" Type="http://schemas.openxmlformats.org/officeDocument/2006/relationships/hyperlink" Target="https://www.funduszeeuropejskie.gov.pl/media/55001/Zalacznik_nr_2_do_Wytycznych_w_zakresie_rownosci_zatwiedzone_0504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>MRR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Soloducha</dc:creator>
  <cp:keywords/>
  <dc:description/>
  <cp:lastModifiedBy>Ewelina Soloducha</cp:lastModifiedBy>
  <cp:revision>2</cp:revision>
  <dcterms:created xsi:type="dcterms:W3CDTF">2019-01-28T11:06:00Z</dcterms:created>
  <dcterms:modified xsi:type="dcterms:W3CDTF">2019-01-28T11:07:00Z</dcterms:modified>
</cp:coreProperties>
</file>