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D51740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AE6F5B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1984"/>
      </w:tblGrid>
      <w:tr w:rsidR="00F635A8" w:rsidRPr="00FF1ECE" w:rsidTr="00675755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675755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846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4C4EBE" w:rsidRDefault="004C4EBE" w:rsidP="0030443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0" w:history="1">
              <w:r w:rsidR="003D1DD8" w:rsidRPr="004C4EBE">
                <w:rPr>
                  <w:rStyle w:val="Hipercze"/>
                  <w:rFonts w:ascii="Arial" w:hAnsi="Arial" w:cs="Arial"/>
                  <w:lang w:eastAsia="pl-PL"/>
                </w:rPr>
                <w:t>wupbialystok.praca.gov.pl/web/power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632D7D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4C4EBE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A65C6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4C4EBE" w:rsidRDefault="004C4EB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4C4EBE">
                <w:rPr>
                  <w:rStyle w:val="Hipercze"/>
                  <w:rFonts w:ascii="Arial" w:hAnsi="Arial" w:cs="Arial"/>
                </w:rPr>
                <w:t>http://power.wup-katowice.pl/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A65C6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4C4EBE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A65C6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B354CC">
            <w:pPr>
              <w:pStyle w:val="Default"/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4C4EBE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A65C6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924A76" w:rsidRPr="00D8666B" w:rsidRDefault="00CF69D4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4C4EBE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CF69D4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lastRenderedPageBreak/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4C4EBE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4C4EB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4C4EBE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z </w:t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4C4EBE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 xml:space="preserve">Wymagany wkład własny </w:t>
            </w:r>
            <w:r w:rsidRPr="00105BB1">
              <w:rPr>
                <w:rFonts w:ascii="Arial" w:hAnsi="Arial" w:cs="Arial"/>
                <w:lang w:eastAsia="pl-PL"/>
              </w:rPr>
              <w:lastRenderedPageBreak/>
              <w:t>beneficjenta w wysokości min. 5%.</w:t>
            </w:r>
          </w:p>
        </w:tc>
      </w:tr>
      <w:tr w:rsidR="009C6BCA" w:rsidRPr="00FF1ECE" w:rsidTr="001A65C6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9C6BCA">
            <w:pPr>
              <w:pStyle w:val="Default"/>
              <w:numPr>
                <w:ilvl w:val="0"/>
                <w:numId w:val="20"/>
              </w:numPr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Default="009C6BCA" w:rsidP="00105BB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  <w:p w:rsidR="004C4EBE" w:rsidRPr="009C6BCA" w:rsidRDefault="004C4EBE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0" w:history="1">
              <w:r w:rsidRPr="004C4EBE">
                <w:rPr>
                  <w:rStyle w:val="Hipercze"/>
                  <w:rFonts w:ascii="Arial" w:hAnsi="Arial" w:cs="Arial"/>
                  <w:lang w:eastAsia="pl-PL"/>
                </w:rPr>
                <w:t>http://power.wupzielonagora.praca.gov.pl/</w:t>
              </w:r>
            </w:hyperlink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1A65C6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A2278" w:rsidRPr="004343DD" w:rsidRDefault="004343DD" w:rsidP="004343DD">
            <w:pPr>
              <w:pStyle w:val="Default"/>
              <w:numPr>
                <w:ilvl w:val="0"/>
                <w:numId w:val="22"/>
              </w:numPr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343DD">
              <w:rPr>
                <w:rFonts w:cs="Arial"/>
                <w:sz w:val="22"/>
                <w:szCs w:val="22"/>
              </w:rPr>
              <w:lastRenderedPageBreak/>
              <w:t>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1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1984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1A65C6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2A50E6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E74B5A">
              <w:rPr>
                <w:rFonts w:ascii="Arial" w:hAnsi="Arial" w:cs="Arial"/>
                <w:lang w:eastAsia="pl-PL"/>
              </w:rPr>
              <w:t xml:space="preserve"> 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 xml:space="preserve">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rozwojowi przedsiębiorczości i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samozatrudnienia: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  <w:r w:rsidRPr="00D51740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4C4EBE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Pr="004C4EBE">
                <w:rPr>
                  <w:rStyle w:val="Hipercze"/>
                  <w:rFonts w:ascii="Arial" w:hAnsi="Arial" w:cs="Arial"/>
                  <w:szCs w:val="24"/>
                </w:rPr>
                <w:t>http://power.wuppoznan.praca.gov.pl/</w:t>
              </w:r>
            </w:hyperlink>
          </w:p>
        </w:tc>
        <w:tc>
          <w:tcPr>
            <w:tcW w:w="1984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1A65C6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283AB6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4C4EBE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3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675755">
        <w:trPr>
          <w:trHeight w:val="2292"/>
        </w:trPr>
        <w:tc>
          <w:tcPr>
            <w:tcW w:w="2518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675755">
        <w:trPr>
          <w:trHeight w:val="2969"/>
        </w:trPr>
        <w:tc>
          <w:tcPr>
            <w:tcW w:w="2518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675755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675755">
        <w:trPr>
          <w:trHeight w:val="78"/>
        </w:trPr>
        <w:tc>
          <w:tcPr>
            <w:tcW w:w="2518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</w:r>
            <w:r>
              <w:rPr>
                <w:rFonts w:ascii="Arial" w:hAnsi="Arial" w:cs="Arial"/>
                <w:lang w:eastAsia="pl-PL"/>
              </w:rPr>
              <w:lastRenderedPageBreak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lastRenderedPageBreak/>
              <w:t xml:space="preserve">Opracowanie modelowych </w:t>
            </w:r>
            <w:r w:rsidRPr="00C351BA">
              <w:rPr>
                <w:rFonts w:ascii="Arial" w:hAnsi="Arial" w:cs="Arial"/>
                <w:lang w:eastAsia="pl-PL"/>
              </w:rPr>
              <w:lastRenderedPageBreak/>
              <w:t>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283AB6" w:rsidRPr="00D8666B" w:rsidRDefault="004C4EBE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</w:t>
            </w:r>
            <w:r w:rsidRPr="00511B70">
              <w:rPr>
                <w:rFonts w:ascii="Arial" w:hAnsi="Arial" w:cs="Arial"/>
              </w:rPr>
              <w:lastRenderedPageBreak/>
              <w:t xml:space="preserve">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675755">
        <w:trPr>
          <w:trHeight w:val="78"/>
        </w:trPr>
        <w:tc>
          <w:tcPr>
            <w:tcW w:w="2518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</w:t>
            </w:r>
            <w:r>
              <w:rPr>
                <w:rFonts w:ascii="Arial" w:hAnsi="Arial" w:cs="Arial"/>
              </w:rPr>
              <w:lastRenderedPageBreak/>
              <w:t xml:space="preserve">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4C4EBE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6E568D">
        <w:trPr>
          <w:trHeight w:val="78"/>
        </w:trPr>
        <w:tc>
          <w:tcPr>
            <w:tcW w:w="2518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4C4EBE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675755">
        <w:trPr>
          <w:trHeight w:val="78"/>
        </w:trPr>
        <w:tc>
          <w:tcPr>
            <w:tcW w:w="2518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1907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r w:rsidRPr="00E7074E">
              <w:rPr>
                <w:rFonts w:ascii="Arial" w:hAnsi="Arial" w:cs="Arial"/>
              </w:rPr>
              <w:t xml:space="preserve">deinstytucjonalizacji pieczy zastępczej, w tym działań </w:t>
            </w:r>
            <w:r w:rsidRPr="00E7074E">
              <w:rPr>
                <w:rFonts w:ascii="Arial" w:hAnsi="Arial" w:cs="Arial"/>
              </w:rPr>
              <w:lastRenderedPageBreak/>
              <w:t>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675755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4C4EB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675755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i MBA w zakresie zarządzania </w:t>
            </w:r>
            <w:r w:rsidRPr="00E7074E">
              <w:rPr>
                <w:rFonts w:ascii="Arial" w:hAnsi="Arial" w:cs="Arial"/>
              </w:rPr>
              <w:lastRenderedPageBreak/>
              <w:t>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zostanie wybrany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675755">
        <w:trPr>
          <w:trHeight w:val="2110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675755">
        <w:trPr>
          <w:trHeight w:val="2110"/>
        </w:trPr>
        <w:tc>
          <w:tcPr>
            <w:tcW w:w="2518" w:type="dxa"/>
          </w:tcPr>
          <w:p w:rsidR="009C2F91" w:rsidRPr="00D8666B" w:rsidRDefault="009C2F91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4C4EB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675755">
        <w:trPr>
          <w:trHeight w:val="2110"/>
        </w:trPr>
        <w:tc>
          <w:tcPr>
            <w:tcW w:w="2518" w:type="dxa"/>
          </w:tcPr>
          <w:p w:rsidR="004C117C" w:rsidRPr="00D8666B" w:rsidRDefault="004C117C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 xml:space="preserve"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</w:t>
            </w:r>
            <w:r w:rsidRPr="008740F4">
              <w:rPr>
                <w:rFonts w:ascii="Arial" w:hAnsi="Arial" w:cs="Arial"/>
              </w:rPr>
              <w:lastRenderedPageBreak/>
              <w:t>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4C4EBE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984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675755">
        <w:trPr>
          <w:trHeight w:val="2110"/>
        </w:trPr>
        <w:tc>
          <w:tcPr>
            <w:tcW w:w="2518" w:type="dxa"/>
          </w:tcPr>
          <w:p w:rsidR="004C117C" w:rsidRPr="00D8666B" w:rsidRDefault="004C117C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11907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BF573B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po rynku pracy (ICT, matematyczno-przyrodniczych, języki obce), nauczania eksperymentalnego, właściwych postaw (kreatywności, innowacyjności, pracy zespołowej) oraz metod zindywidualizowanego podejścia 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4C4EBE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984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3D1DD8" w:rsidRPr="00FF1ECE" w:rsidTr="00675755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907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649D" w:rsidRPr="00FF1ECE" w:rsidTr="00675755">
        <w:trPr>
          <w:trHeight w:val="78"/>
        </w:trPr>
        <w:tc>
          <w:tcPr>
            <w:tcW w:w="2518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="00933C67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907" w:type="dxa"/>
            <w:gridSpan w:val="11"/>
            <w:vAlign w:val="center"/>
          </w:tcPr>
          <w:p w:rsidR="00F8649D" w:rsidRPr="00FF1ECE" w:rsidRDefault="006E568D" w:rsidP="00F8649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 przewiduje się naborów w 2018 r.</w:t>
            </w:r>
          </w:p>
        </w:tc>
      </w:tr>
      <w:tr w:rsidR="00F635A8" w:rsidRPr="00FF1ECE" w:rsidTr="00933C67">
        <w:trPr>
          <w:trHeight w:val="1552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4C4EB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9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gospodarczych oraz wiedzy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pozaprawnej przydatnej do pomocy stronom przy rozwiązywaniu spraw cywilnych o charakterze gospodarczym.</w:t>
            </w:r>
          </w:p>
        </w:tc>
      </w:tr>
      <w:tr w:rsidR="00F635A8" w:rsidRPr="00FF1ECE" w:rsidTr="00675755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C4EBE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zakresu prawa gospodarczego publicznego i prywatnego/ prawa cywilnego oraz wiedzy pozaprawnej przydatnej do rozstrzygania spraw karnych i cywilnych o charakterze gospodarczym oraz ścigania przestępczości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gospodarczej.</w:t>
            </w:r>
          </w:p>
        </w:tc>
      </w:tr>
      <w:tr w:rsidR="00E14C07" w:rsidRPr="00FF1ECE" w:rsidTr="00675755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1984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D05F7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nieruchomości Skarbu Państwa, obsługi klienta,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Instytut Geografii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D05F76">
        <w:trPr>
          <w:trHeight w:val="1094"/>
        </w:trPr>
        <w:tc>
          <w:tcPr>
            <w:tcW w:w="2518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doskonalenie kompetencji kadr JST w zakresie opracowywania ofert inwestycyjnych oraz obsługi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1984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D05F7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4C4EBE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D05F76">
        <w:trPr>
          <w:trHeight w:val="1093"/>
        </w:trPr>
        <w:tc>
          <w:tcPr>
            <w:tcW w:w="2518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4C4EBE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</w:t>
            </w:r>
            <w:r w:rsidRPr="000148A6">
              <w:rPr>
                <w:rFonts w:ascii="Arial" w:hAnsi="Arial" w:cs="Arial"/>
              </w:rPr>
              <w:lastRenderedPageBreak/>
              <w:t>typu operacji będą mogły być przeprowadzone po wejściu w życie zmian w Programie oraz wprowadzeniu zmian w Szczegółowym Opisie Osi Priorytetowych PO WER.</w:t>
            </w:r>
          </w:p>
        </w:tc>
      </w:tr>
      <w:tr w:rsidR="000148A6" w:rsidRPr="00FF1ECE" w:rsidTr="00D05F76">
        <w:trPr>
          <w:trHeight w:val="1093"/>
        </w:trPr>
        <w:tc>
          <w:tcPr>
            <w:tcW w:w="2518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4C4EBE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148A6" w:rsidRP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675755">
        <w:trPr>
          <w:trHeight w:val="1093"/>
        </w:trPr>
        <w:tc>
          <w:tcPr>
            <w:tcW w:w="2518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907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6E568D" w:rsidRPr="00FF1ECE" w:rsidTr="003F184D">
        <w:trPr>
          <w:trHeight w:val="1093"/>
        </w:trPr>
        <w:tc>
          <w:tcPr>
            <w:tcW w:w="2518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6E568D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</w:p>
        </w:tc>
        <w:tc>
          <w:tcPr>
            <w:tcW w:w="2127" w:type="dxa"/>
            <w:gridSpan w:val="2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4C4EBE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5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6E568D" w:rsidRPr="004F1CC1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3F184D">
        <w:trPr>
          <w:trHeight w:val="1093"/>
        </w:trPr>
        <w:tc>
          <w:tcPr>
            <w:tcW w:w="2518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4C4EBE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6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3F184D">
        <w:trPr>
          <w:trHeight w:val="1093"/>
        </w:trPr>
        <w:tc>
          <w:tcPr>
            <w:tcW w:w="2518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 xml:space="preserve">Poprawa zarządzania rozwoju kapitału </w:t>
            </w:r>
            <w:r w:rsidR="003F184D" w:rsidRPr="006E568D">
              <w:rPr>
                <w:rFonts w:ascii="Arial" w:hAnsi="Arial" w:cs="Arial"/>
                <w:bCs/>
                <w:i/>
              </w:rPr>
              <w:lastRenderedPageBreak/>
              <w:t>ludzkiego oraz wsparcie procesów innowacyjnych w przedsiębiorstwach</w:t>
            </w:r>
          </w:p>
        </w:tc>
        <w:tc>
          <w:tcPr>
            <w:tcW w:w="2126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Działania służące poprawie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zarządzania, rozwojowi kapitału ludzkiego oraz wspierające procesy innowacyjne: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58 000 000 zł</w:t>
            </w: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4C4EBE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47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984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675755">
        <w:trPr>
          <w:trHeight w:val="78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III Szkolnictwo wyższe dla gospodarki i rozwoju</w:t>
            </w:r>
          </w:p>
        </w:tc>
      </w:tr>
      <w:tr w:rsidR="00F635A8" w:rsidRPr="00FF1ECE" w:rsidTr="00675755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10CE6">
            <w:pPr>
              <w:spacing w:before="120"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4C4EBE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675755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 xml:space="preserve">Stworzenie i realizacja kursów edukacyjnych w formie e-learningu dla studentów lub dostępnego dla wszystkich </w:t>
            </w:r>
            <w:r w:rsidRPr="00FE02C9">
              <w:rPr>
                <w:rFonts w:ascii="Arial" w:hAnsi="Arial" w:cs="Arial"/>
              </w:rPr>
              <w:lastRenderedPageBreak/>
              <w:t>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675755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10CE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675755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C4E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984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675755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810CE6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11846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CE5F86">
        <w:trPr>
          <w:trHeight w:val="614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lastRenderedPageBreak/>
              <w:t xml:space="preserve">Skalowanie innowacji społecznych - dopracowanie (o ile będzie to konieczne) i </w:t>
            </w:r>
            <w:r w:rsidRPr="00CE5F86">
              <w:rPr>
                <w:rFonts w:ascii="Arial" w:hAnsi="Arial" w:cs="Arial"/>
              </w:rPr>
              <w:lastRenderedPageBreak/>
              <w:t xml:space="preserve">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4C4EBE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675755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4C4EBE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675755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4C4EBE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lastRenderedPageBreak/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lastRenderedPageBreak/>
              <w:t xml:space="preserve">Makro-innowacje – opracowanie (o ile będzie to konieczne), przetestowanie, upowszechnienie i włączenie do </w:t>
            </w:r>
            <w:r w:rsidRPr="00FA6559">
              <w:rPr>
                <w:rFonts w:ascii="Arial" w:hAnsi="Arial" w:cs="Arial"/>
              </w:rPr>
              <w:lastRenderedPageBreak/>
              <w:t>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4C4EBE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675755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4C4EB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4C4EBE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Mikro-innowacje - inkubacja nowych zalążkowych pomysłów, w tym ich opracowanie i rozwinięcie, oraz przetestowanie i upowszechnienie, a także podjęcie działań w zakresie </w:t>
            </w:r>
            <w:r w:rsidRPr="00CE5F86">
              <w:rPr>
                <w:rFonts w:ascii="Arial" w:hAnsi="Arial" w:cs="Arial"/>
              </w:rPr>
              <w:lastRenderedPageBreak/>
              <w:t>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4C4EBE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CE5F86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846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4C4EBE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984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846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4C4EBE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0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4C4EBE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984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675755">
        <w:trPr>
          <w:trHeight w:val="280"/>
        </w:trPr>
        <w:tc>
          <w:tcPr>
            <w:tcW w:w="14425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4C4EB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2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4C4EBE" w:rsidP="006860CF">
            <w:pPr>
              <w:jc w:val="center"/>
              <w:rPr>
                <w:rStyle w:val="Teksttreci11pt"/>
                <w:color w:val="000000"/>
              </w:rPr>
            </w:pPr>
            <w:hyperlink r:id="rId63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4C4EB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4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4C4EB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5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675755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4C4EBE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</w:t>
              </w:r>
              <w:r w:rsidR="00001387" w:rsidRPr="007C1648">
                <w:rPr>
                  <w:rStyle w:val="Hipercze"/>
                  <w:rFonts w:ascii="Arial" w:hAnsi="Arial" w:cs="Arial"/>
                  <w:bCs/>
                </w:rPr>
                <w:lastRenderedPageBreak/>
                <w:t>.pl/power</w:t>
              </w:r>
            </w:hyperlink>
          </w:p>
        </w:tc>
        <w:tc>
          <w:tcPr>
            <w:tcW w:w="1984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4C4EB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4C4EB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675755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4C4EBE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1984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podmiotów tworzących służące  poprawie efektywności funkcjonowania systemu ochrony zdrowia, ze szczególnym uwzględnieniem  rozwoju zdolności analitycznych i audytu wewnętrznego w jednostkach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4C4EBE" w:rsidP="00D50346">
            <w:pPr>
              <w:jc w:val="center"/>
              <w:rPr>
                <w:rStyle w:val="Teksttreci11pt"/>
                <w:color w:val="000000"/>
              </w:rPr>
            </w:pPr>
            <w:hyperlink r:id="rId70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50346" w:rsidRDefault="00137ADC" w:rsidP="00A07B63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50346">
              <w:rPr>
                <w:rFonts w:ascii="Arial" w:hAnsi="Arial" w:cs="Arial"/>
              </w:rPr>
              <w:t>W tym działaniu przewiduje się także projekty realizowane w trybie pozakonkursowym</w:t>
            </w: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4C4EBE" w:rsidP="00D50346">
            <w:pPr>
              <w:jc w:val="center"/>
              <w:rPr>
                <w:rStyle w:val="Teksttreci11pt"/>
                <w:color w:val="000000"/>
              </w:rPr>
            </w:pPr>
            <w:hyperlink r:id="rId71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D50346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4C4EBE" w:rsidP="00110331">
            <w:pPr>
              <w:jc w:val="center"/>
              <w:rPr>
                <w:rStyle w:val="Teksttreci11pt"/>
                <w:color w:val="000000"/>
              </w:rPr>
            </w:pPr>
            <w:hyperlink r:id="rId72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110331">
            <w:pPr>
              <w:spacing w:before="120" w:after="100" w:afterAutospacing="1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4C4EBE" w:rsidP="00110331">
            <w:pPr>
              <w:jc w:val="center"/>
              <w:rPr>
                <w:rStyle w:val="Teksttreci11pt"/>
                <w:color w:val="000000"/>
              </w:rPr>
            </w:pPr>
            <w:hyperlink r:id="rId73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675755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933C67">
            <w:pPr>
              <w:spacing w:before="120" w:after="100" w:afterAutospacing="1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 xml:space="preserve">Kształcenie podyplomowe lekarzy realizowane w innych formach niż specjalizacje w obszarach istotnych z punktu widzenia potrzeb epidemiologiczno-demograficznych kraju, ze szczególnym uwzględnieniem lekarzy współpracujących z </w:t>
            </w:r>
            <w:r w:rsidRPr="00110331">
              <w:rPr>
                <w:rStyle w:val="Teksttreci11pt"/>
                <w:b w:val="0"/>
                <w:color w:val="000000"/>
              </w:rPr>
              <w:lastRenderedPageBreak/>
              <w:t>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lastRenderedPageBreak/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4C4EBE" w:rsidP="00110331">
            <w:pPr>
              <w:jc w:val="center"/>
              <w:rPr>
                <w:rStyle w:val="Teksttreci11pt"/>
                <w:color w:val="000000"/>
              </w:rPr>
            </w:pPr>
            <w:hyperlink r:id="rId74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5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40" w:rsidRDefault="00D51740" w:rsidP="00946CD5">
      <w:pPr>
        <w:spacing w:after="0" w:line="240" w:lineRule="auto"/>
      </w:pPr>
      <w:r>
        <w:separator/>
      </w:r>
    </w:p>
  </w:endnote>
  <w:endnote w:type="continuationSeparator" w:id="0">
    <w:p w:rsidR="00D51740" w:rsidRDefault="00D51740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40" w:rsidRDefault="00D51740" w:rsidP="00946CD5">
      <w:pPr>
        <w:spacing w:after="0" w:line="240" w:lineRule="auto"/>
      </w:pPr>
      <w:r>
        <w:separator/>
      </w:r>
    </w:p>
  </w:footnote>
  <w:footnote w:type="continuationSeparator" w:id="0">
    <w:p w:rsidR="00D51740" w:rsidRDefault="00D51740" w:rsidP="00946CD5">
      <w:pPr>
        <w:spacing w:after="0" w:line="240" w:lineRule="auto"/>
      </w:pPr>
      <w:r>
        <w:continuationSeparator/>
      </w:r>
    </w:p>
  </w:footnote>
  <w:footnote w:id="1">
    <w:p w:rsidR="00D51740" w:rsidRPr="000017C1" w:rsidRDefault="00D51740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D51740" w:rsidRPr="00ED2E5F" w:rsidRDefault="00D51740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D51740" w:rsidRPr="00A10A03" w:rsidRDefault="00D51740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D51740" w:rsidRDefault="00D51740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D51740" w:rsidRDefault="00D51740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D51740" w:rsidRPr="00CE5F86" w:rsidRDefault="00D51740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D51740" w:rsidRDefault="00D51740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D51740" w:rsidRDefault="00D51740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D51740" w:rsidRDefault="00D51740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D51740" w:rsidRDefault="00D51740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D51740" w:rsidRDefault="00D51740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D51740" w:rsidRDefault="00D51740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D51740" w:rsidRDefault="00D51740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D51740" w:rsidRDefault="00D51740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D51740" w:rsidRDefault="00D51740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40" w:rsidRPr="009A2278" w:rsidRDefault="00D51740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12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3"/>
  </w:num>
  <w:num w:numId="10">
    <w:abstractNumId w:val="20"/>
  </w:num>
  <w:num w:numId="11">
    <w:abstractNumId w:val="15"/>
  </w:num>
  <w:num w:numId="12">
    <w:abstractNumId w:val="1"/>
  </w:num>
  <w:num w:numId="13">
    <w:abstractNumId w:val="24"/>
  </w:num>
  <w:num w:numId="14">
    <w:abstractNumId w:val="18"/>
  </w:num>
  <w:num w:numId="15">
    <w:abstractNumId w:val="8"/>
  </w:num>
  <w:num w:numId="16">
    <w:abstractNumId w:val="2"/>
  </w:num>
  <w:num w:numId="17">
    <w:abstractNumId w:val="25"/>
  </w:num>
  <w:num w:numId="18">
    <w:abstractNumId w:val="16"/>
  </w:num>
  <w:num w:numId="19">
    <w:abstractNumId w:val="0"/>
  </w:num>
  <w:num w:numId="20">
    <w:abstractNumId w:val="19"/>
  </w:num>
  <w:num w:numId="21">
    <w:abstractNumId w:val="26"/>
  </w:num>
  <w:num w:numId="22">
    <w:abstractNumId w:val="9"/>
  </w:num>
  <w:num w:numId="23">
    <w:abstractNumId w:val="7"/>
  </w:num>
  <w:num w:numId="24">
    <w:abstractNumId w:val="14"/>
  </w:num>
  <w:num w:numId="25">
    <w:abstractNumId w:val="5"/>
  </w:num>
  <w:num w:numId="26">
    <w:abstractNumId w:val="17"/>
  </w:num>
  <w:num w:numId="27">
    <w:abstractNumId w:val="6"/>
  </w:num>
  <w:num w:numId="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6585"/>
    <w:rsid w:val="00124022"/>
    <w:rsid w:val="00137ADC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618C"/>
    <w:rsid w:val="00346A25"/>
    <w:rsid w:val="003473B3"/>
    <w:rsid w:val="0035327F"/>
    <w:rsid w:val="00395238"/>
    <w:rsid w:val="003A04F4"/>
    <w:rsid w:val="003B31CB"/>
    <w:rsid w:val="003C4876"/>
    <w:rsid w:val="003D1DD8"/>
    <w:rsid w:val="003D3F75"/>
    <w:rsid w:val="003E4559"/>
    <w:rsid w:val="003E724B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C4EBE"/>
    <w:rsid w:val="004F1CC1"/>
    <w:rsid w:val="00511B70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5755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63D5E"/>
    <w:rsid w:val="00771DA4"/>
    <w:rsid w:val="007B2B49"/>
    <w:rsid w:val="007C60DF"/>
    <w:rsid w:val="007D7D70"/>
    <w:rsid w:val="007F3261"/>
    <w:rsid w:val="00810CE6"/>
    <w:rsid w:val="00861CFB"/>
    <w:rsid w:val="00867116"/>
    <w:rsid w:val="00883492"/>
    <w:rsid w:val="008960B1"/>
    <w:rsid w:val="008A33F3"/>
    <w:rsid w:val="008A7B09"/>
    <w:rsid w:val="008B1320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www.ms.gov.pl" TargetMode="External"/><Relationship Id="rId21" Type="http://schemas.openxmlformats.org/officeDocument/2006/relationships/hyperlink" Target="http://wupwarszawa.praca.gov.pl/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www.power.gov.pl" TargetMode="External"/><Relationship Id="rId47" Type="http://schemas.openxmlformats.org/officeDocument/2006/relationships/hyperlink" Target="file:///E:\www.parp.gov.pl" TargetMode="External"/><Relationship Id="rId50" Type="http://schemas.openxmlformats.org/officeDocument/2006/relationships/hyperlink" Target="file:///\\Tango\DZF\PO%20WER\Promocja\Harmonogramy\2017_Harmonogram\www.ncbir.pl" TargetMode="External"/><Relationship Id="rId55" Type="http://schemas.openxmlformats.org/officeDocument/2006/relationships/hyperlink" Target="file:///\\Tango\DZF\PO%20WER\Promocja\Harmonogramy\2017_Harmonogram\www.power.gov.pl" TargetMode="External"/><Relationship Id="rId63" Type="http://schemas.openxmlformats.org/officeDocument/2006/relationships/hyperlink" Target="http://zdrowie.gov.pl/power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E:\www.ms.gov.pl" TargetMode="External"/><Relationship Id="rId45" Type="http://schemas.openxmlformats.org/officeDocument/2006/relationships/hyperlink" Target="file:///E:\www.parp.gov.pl" TargetMode="External"/><Relationship Id="rId53" Type="http://schemas.openxmlformats.org/officeDocument/2006/relationships/hyperlink" Target="file:///\\Tango\DZF\PO%20WER\Promocja\Harmonogramy\2017_Harmonogram\www.power.gov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http://zdrowie.gov.pl/power" TargetMode="External"/><Relationship Id="rId74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ncbir.pl" TargetMode="External"/><Relationship Id="rId57" Type="http://schemas.openxmlformats.org/officeDocument/2006/relationships/hyperlink" Target="file:///\\Tango\DZF\PO%20WER\Promocja\Harmonogramy\2017_Harmonogram\www.power.gov.pl" TargetMode="External"/><Relationship Id="rId61" Type="http://schemas.openxmlformats.org/officeDocument/2006/relationships/hyperlink" Target="file:///\\Tango\DZF\PO%20WER\Promocja\Harmonogramy\2017_Harmonogram\www.cpe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power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file:///\\Tango\DZF\PO%20WER\Promocja\Harmonogramy\2017_Harmonogram\www.cpe.gov.pl" TargetMode="External"/><Relationship Id="rId65" Type="http://schemas.openxmlformats.org/officeDocument/2006/relationships/hyperlink" Target="http://zdrowie.gov.pl/power" TargetMode="External"/><Relationship Id="rId73" Type="http://schemas.openxmlformats.org/officeDocument/2006/relationships/hyperlink" Target="http://zdrowie.gov.pl/pow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http://power.wuppoznan.praca.gov.pl/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www.power.gov.pl" TargetMode="External"/><Relationship Id="rId48" Type="http://schemas.openxmlformats.org/officeDocument/2006/relationships/hyperlink" Target="file:///\\Tango\DZF\PO%20WER\Promocja\Harmonogramy\2017_Harmonogram\www.ncbir.pl" TargetMode="External"/><Relationship Id="rId56" Type="http://schemas.openxmlformats.org/officeDocument/2006/relationships/hyperlink" Target="file:///\\Tango\DZF\PO%20WER\Promocja\Harmonogramy\2017_Harmonogram\www.power.gov.pl" TargetMode="External"/><Relationship Id="rId64" Type="http://schemas.openxmlformats.org/officeDocument/2006/relationships/hyperlink" Target="http://zdrowie.gov.pl/power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ncbir.pl" TargetMode="External"/><Relationship Id="rId72" Type="http://schemas.openxmlformats.org/officeDocument/2006/relationships/hyperlink" Target="http://zdrowie.gov.pl/power" TargetMode="Externa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E:\www.parp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power.wupzielonagora.praca.gov.pl/" TargetMode="External"/><Relationship Id="rId41" Type="http://schemas.openxmlformats.org/officeDocument/2006/relationships/hyperlink" Target="file:///\\Tango\DZF\PO%20WER\Promocja\Harmonogramy\2017_Harmonogram\www.ms.gov.pl" TargetMode="External"/><Relationship Id="rId54" Type="http://schemas.openxmlformats.org/officeDocument/2006/relationships/hyperlink" Target="file:///\\Tango\DZF\PO%20WER\Promocja\Harmonogramy\2017_Harmonogram\www.power.gov.pl" TargetMode="External"/><Relationship Id="rId62" Type="http://schemas.openxmlformats.org/officeDocument/2006/relationships/hyperlink" Target="http://zdrowie.gov.pl/power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288C-9CB3-4FA9-9704-F557684D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10600</Words>
  <Characters>63603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3</cp:revision>
  <cp:lastPrinted>2017-04-06T10:46:00Z</cp:lastPrinted>
  <dcterms:created xsi:type="dcterms:W3CDTF">2018-01-31T08:19:00Z</dcterms:created>
  <dcterms:modified xsi:type="dcterms:W3CDTF">2018-02-12T12:33:00Z</dcterms:modified>
</cp:coreProperties>
</file>