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5320F9">
        <w:rPr>
          <w:rFonts w:ascii="Arial" w:eastAsia="Times New Roman" w:hAnsi="Arial" w:cs="Arial"/>
          <w:b/>
          <w:sz w:val="28"/>
          <w:szCs w:val="28"/>
          <w:lang w:eastAsia="pl-PL"/>
        </w:rPr>
        <w:t>6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14FA0"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114FA0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  <w:bookmarkStart w:id="0" w:name="_GoBack"/>
      <w:bookmarkEnd w:id="0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8B3F4D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8B3F4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8B3F4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8B3F4D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8B3F4D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8B3F4D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8B3F4D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8B3F4D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8B3F4D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8B3F4D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1A65C6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2A50E6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E74B5A">
              <w:rPr>
                <w:rFonts w:ascii="Arial" w:hAnsi="Arial" w:cs="Arial"/>
                <w:lang w:eastAsia="pl-PL"/>
              </w:rPr>
              <w:t xml:space="preserve"> 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8B3F4D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A50E6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power.wuppoznan.praca.gov.pl</w:t>
              </w:r>
            </w:hyperlink>
          </w:p>
        </w:tc>
        <w:tc>
          <w:tcPr>
            <w:tcW w:w="1984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8B3F4D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83523E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83523E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</w:t>
            </w:r>
            <w:r w:rsidRPr="00511B70">
              <w:rPr>
                <w:rFonts w:ascii="Arial" w:hAnsi="Arial" w:cs="Arial"/>
              </w:rPr>
              <w:lastRenderedPageBreak/>
              <w:t>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83523E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83523E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8B3F4D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8B3F4D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Ministerstwo Rodziny Pracy i Polityki Społecznej</w:t>
            </w:r>
          </w:p>
          <w:p w:rsidR="00AF2B10" w:rsidRPr="00D8666B" w:rsidRDefault="008B3F4D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049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83523E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świadczonych w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lastRenderedPageBreak/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8B3F4D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83523E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83523E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83523E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8B3F4D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8B3F4D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049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8B3F4D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83523E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8B3F4D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>na konieczność dostosowania założeń ww. konkursu do zmian planowanych do wprowadzenia w rozporządzeniu Ministra Edukacji Narodowej w sprawie podstawy programowej kształcenia ogólnego dla czteroletniego liceum ogólnokształcącego, pięcioletniego technikum oraz 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83523E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83523E">
        <w:trPr>
          <w:trHeight w:val="78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8B3F4D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a. opracowanie narzędzi i instrumentów diagnozowania lokalnego rynku pracy i rynku kwalifikacji dla doradców edukacyjno-zawodowych, uwzględniających współpracę i wymianę doświadczeń z 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b. przygotowanie programów szkoleniowych, w tym e-learningowych dla doradców edukacyjno-zawodowych (w związku z uruchomieniem nowych </w:t>
            </w:r>
            <w:r w:rsidRPr="008E00C5">
              <w:rPr>
                <w:rFonts w:ascii="Arial" w:hAnsi="Arial" w:cs="Arial"/>
              </w:rPr>
              <w:lastRenderedPageBreak/>
              <w:t>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8B3F4D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placówkach systemu oświaty w grupach warsztatowych (maksymalnie 22 osobowych) z zakresu programów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8B3F4D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Beneficjent zaproponuje a następnie opracuje programy nauczania dla specjalności wyodrębnionych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projektów.</w:t>
            </w:r>
          </w:p>
        </w:tc>
      </w:tr>
      <w:tr w:rsidR="0074438B" w:rsidRPr="00FF1ECE" w:rsidTr="0083523E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d) przykładowych form doskonalenia nauczycieli 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27 621 000,00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8B3F4D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danym zawodzie, możliwych do 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83523E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8B3F4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gospodarczych oraz wiedzy pozaprawnej przydatnej do pomocy stronom przy rozwiązywaniu spraw cywilnych o charakterze gospodarczym.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8B3F4D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zakresu prawa gospodarczego publicznego i prywatnego/ prawa cywilnego oraz wiedzy pozaprawnej przydatnej do rozstrzygania spraw karnych i cywilnych o charakterze gospodarczym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oraz ścigania przestępczości gospodarczej.</w:t>
            </w:r>
          </w:p>
        </w:tc>
      </w:tr>
      <w:tr w:rsidR="00E14C07" w:rsidRPr="00FF1ECE" w:rsidTr="0083523E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83523E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83523E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doskonalenie kompetencji kadr JST w zakresie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3523E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8B3F4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83523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 xml:space="preserve">Usprawnienie procesów inwestycyjno-budowlanych i planowania </w:t>
            </w:r>
            <w:r w:rsidRPr="00867116">
              <w:rPr>
                <w:rFonts w:ascii="Arial" w:hAnsi="Arial" w:cs="Arial"/>
                <w:bCs/>
                <w:i/>
              </w:rPr>
              <w:lastRenderedPageBreak/>
              <w:t>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lastRenderedPageBreak/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8B3F4D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</w:t>
            </w:r>
            <w:r w:rsidRPr="000148A6">
              <w:rPr>
                <w:rFonts w:ascii="Arial" w:hAnsi="Arial" w:cs="Arial"/>
              </w:rPr>
              <w:lastRenderedPageBreak/>
              <w:t>realizacji w ramach projektu na podstawie ww. typu operacji będą mogły być przeprowadzone po wejściu w życie zmian w Programie oraz wprowadzeniu zmian w Szczegółowym Opisie Osi Priorytetowych PO WER.</w:t>
            </w:r>
          </w:p>
        </w:tc>
      </w:tr>
      <w:tr w:rsidR="000148A6" w:rsidRPr="00FF1ECE" w:rsidTr="00A32B7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8B3F4D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83523E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525916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1984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83523E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8B3F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9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 xml:space="preserve">Poprawa zarządzania rozwoju kapitału ludzkiego oraz wsparcie procesów innowacyjnych w </w:t>
            </w:r>
            <w:r w:rsidR="003F184D" w:rsidRPr="006E568D">
              <w:rPr>
                <w:rFonts w:ascii="Arial" w:hAnsi="Arial" w:cs="Arial"/>
                <w:bCs/>
                <w:i/>
              </w:rPr>
              <w:lastRenderedPageBreak/>
              <w:t>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8B3F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8B3F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 xml:space="preserve">pracowanie programów kształcenia i realizacja studiów dualnych, czyli kształcenia przemiennego równolegle w formie zajęć dydaktycznych realizowanych w uczelni i zajęć praktycznych odbywanych u pracodawcy, uwzględniających </w:t>
            </w:r>
            <w:r w:rsidRPr="00344F44">
              <w:rPr>
                <w:rFonts w:ascii="Arial" w:hAnsi="Arial" w:cs="Arial"/>
              </w:rPr>
              <w:lastRenderedPageBreak/>
              <w:t>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8B3F4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B3F4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 xml:space="preserve">Umiędzynarodowienie polskiego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8B3F4D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8B3F4D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</w:t>
            </w:r>
            <w:r w:rsidRPr="00BD2987">
              <w:rPr>
                <w:rFonts w:ascii="Arial" w:hAnsi="Arial" w:cs="Arial"/>
                <w:color w:val="000000"/>
              </w:rPr>
              <w:lastRenderedPageBreak/>
              <w:t>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lastRenderedPageBreak/>
              <w:t xml:space="preserve">Makro-innowacje – opracowanie (o ile będzie to konieczne), </w:t>
            </w:r>
            <w:r w:rsidRPr="00A65C1A">
              <w:rPr>
                <w:rFonts w:ascii="Arial" w:hAnsi="Arial" w:cs="Arial"/>
              </w:rPr>
              <w:lastRenderedPageBreak/>
              <w:t>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AB30BB" w:rsidRPr="00BD2987" w:rsidRDefault="008B3F4D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8B3F4D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8B3F4D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lastRenderedPageBreak/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8B3F4D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8B3F4D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8B3F4D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Współpraca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</w:t>
            </w:r>
            <w:r w:rsidRPr="00736D0D">
              <w:rPr>
                <w:rFonts w:ascii="Arial" w:hAnsi="Arial" w:cs="Arial"/>
              </w:rPr>
              <w:lastRenderedPageBreak/>
              <w:t xml:space="preserve">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lastRenderedPageBreak/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8B3F4D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E54C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8B3F4D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B3F4D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8B3F4D" w:rsidP="006860CF">
            <w:pPr>
              <w:jc w:val="center"/>
              <w:rPr>
                <w:rStyle w:val="Teksttreci11pt"/>
                <w:color w:val="000000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B3F4D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B3F4D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B3F4D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B3F4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B3F4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B3F4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83523E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 xml:space="preserve">Działania projakościowe </w:t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 xml:space="preserve">Szkolenia pracowników administracyjnych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zarządzających podmiotami leczniczymi jak również przedstawicieli płatnika i 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B3F4D" w:rsidP="00D50346">
            <w:pPr>
              <w:jc w:val="center"/>
              <w:rPr>
                <w:rStyle w:val="Teksttreci11pt"/>
                <w:color w:val="000000"/>
              </w:rPr>
            </w:pPr>
            <w:hyperlink r:id="rId7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 xml:space="preserve">W tym działaniu przewiduje się </w:t>
            </w: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także projekty realizowane w trybie 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B3F4D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B3F4D" w:rsidP="00110331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Doskonalenie zawodowe pracowników innych zawodów istotnych z punktu widzenia funkcjonowania systemu ochrony zdrowia w obszarach istotnych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B3F4D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B3F4D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95238"/>
    <w:rsid w:val="003A04F4"/>
    <w:rsid w:val="003B31CB"/>
    <w:rsid w:val="003C4876"/>
    <w:rsid w:val="003D09B5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wupbialystok.praca.gov.pl/web/power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http://zdrowie.gov.pl/power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E: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www.ms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power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E:\www.parp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9FFB-B386-49A0-A26A-C9179863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11558</Words>
  <Characters>69352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2018-04-27T09:50:00Z</dcterms:created>
  <dcterms:modified xsi:type="dcterms:W3CDTF">2018-04-27T09:51:00Z</dcterms:modified>
</cp:coreProperties>
</file>