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A54CA0">
        <w:rPr>
          <w:rFonts w:ascii="Arial" w:eastAsia="Times New Roman" w:hAnsi="Arial" w:cs="Arial"/>
          <w:color w:val="auto"/>
          <w:szCs w:val="26"/>
          <w:lang w:eastAsia="pl-PL"/>
        </w:rPr>
        <w:t>6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A54CA0">
        <w:rPr>
          <w:rFonts w:ascii="Arial" w:eastAsia="Times New Roman" w:hAnsi="Arial" w:cs="Arial"/>
          <w:color w:val="auto"/>
          <w:szCs w:val="26"/>
          <w:lang w:eastAsia="pl-PL"/>
        </w:rPr>
        <w:t>30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6B277D">
        <w:rPr>
          <w:rFonts w:ascii="Arial" w:eastAsia="Times New Roman" w:hAnsi="Arial" w:cs="Arial"/>
          <w:color w:val="auto"/>
          <w:szCs w:val="26"/>
          <w:lang w:eastAsia="pl-PL"/>
        </w:rPr>
        <w:t>6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559"/>
        <w:gridCol w:w="425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</w:t>
            </w:r>
            <w:r w:rsidRPr="00EC519B">
              <w:rPr>
                <w:rFonts w:ascii="Arial" w:hAnsi="Arial" w:cs="Arial"/>
              </w:rPr>
              <w:lastRenderedPageBreak/>
              <w:t>zidentyfikowanych potrzeb osoby, której udzielane jest wsparcie, 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</w:t>
            </w:r>
            <w:r w:rsidR="00A54CA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A54CA0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54CA0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54CA0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EC519B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54CA0" w:rsidRPr="006A7C51" w:rsidRDefault="00A54CA0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A54CA0" w:rsidRP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1. </w:t>
            </w:r>
            <w:r w:rsidRPr="00A54CA0">
              <w:rPr>
                <w:rFonts w:ascii="Arial" w:hAnsi="Arial" w:cs="Arial"/>
                <w:lang w:eastAsia="pl-PL"/>
              </w:rPr>
              <w:t xml:space="preserve">Instrumenty i usługi rynku pracy służące indywidualizacji wsparcia oraz pomocy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określenia ścieżki zawodowej (obligatoryjne):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kompleksowe i indywidualne pośrednictwo pracy w zakresie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 xml:space="preserve">wyboru zawodu zgodnego 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 xml:space="preserve">z kwalifikacjami i kompetencjami wspieranej osoby lub poradnictwo zawodowe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2.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3.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 xml:space="preserve">nabywanie lub uzupełnianie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>doświadczenia zawodowego oraz praktycznych umiejętności w zakresie wykonywania danego zawodu, m.in. poprzez staże i praktyki, spełniające standardy wskazane w Europejskiej Ramie Jakości Praktyk i Staży,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z subsydiowanym zatrudnieniem),</w:t>
            </w:r>
          </w:p>
          <w:p w:rsidR="00A54CA0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4. </w:t>
            </w:r>
            <w:r w:rsidRPr="00A54FEF">
              <w:rPr>
                <w:rFonts w:ascii="Arial" w:hAnsi="Arial" w:cs="Arial"/>
                <w:lang w:eastAsia="pl-PL"/>
              </w:rPr>
              <w:t>Instrumenty i usługi rynku pracy skierowane do osób niepełnosprawnych: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FEF">
              <w:rPr>
                <w:rFonts w:ascii="Arial" w:hAnsi="Arial" w:cs="Arial"/>
                <w:lang w:eastAsia="pl-PL"/>
              </w:rPr>
              <w:t xml:space="preserve">niwelowanie barier jakie napotykają osoby młode niepełnosprawne w zakresie zdobycia 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</w:p>
          <w:p w:rsidR="00A54FEF" w:rsidRPr="00EC519B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>i doposażenie stanowiska pracy do potrzeb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A7C5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4 750 000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A54FEF" w:rsidRPr="006A7C51" w:rsidRDefault="00A54FEF" w:rsidP="006A7C51">
            <w:pPr>
              <w:spacing w:before="120"/>
              <w:jc w:val="center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A54CA0" w:rsidRPr="00EC519B" w:rsidRDefault="00A54FEF" w:rsidP="00A54FEF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1" w:history="1">
              <w:r w:rsidRPr="006A7C51">
                <w:rPr>
                  <w:rStyle w:val="Hipercze"/>
                  <w:rFonts w:ascii="Arial" w:hAnsi="Arial" w:cs="Arial"/>
                  <w:lang w:eastAsia="pl-PL"/>
                </w:rPr>
                <w:t>http://wupbialystok.praca.gov.pl/web/power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6A7C51">
              <w:rPr>
                <w:rFonts w:ascii="Arial" w:hAnsi="Arial" w:cs="Arial"/>
                <w:lang w:eastAsia="pl-PL"/>
              </w:rPr>
              <w:t>Wymagany wkład własny beneficjenta w wysokości min. 5,00%.</w:t>
            </w:r>
          </w:p>
        </w:tc>
      </w:tr>
      <w:tr w:rsidR="00632D7D" w:rsidRPr="00FF1ECE" w:rsidTr="006A7C51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kontynuacja nauki dla osób młodych, u których zdiagnozowano potrzebę uzupełnienia edukacji formalnej lub potrzebę potwierdzenia kwalifikacji m.in. poprzez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A54CA0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BD2987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6A7C51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A54CA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A54CA0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</w:t>
            </w:r>
            <w:r w:rsidRPr="00D8666B">
              <w:rPr>
                <w:rFonts w:ascii="Arial" w:hAnsi="Arial" w:cs="Arial"/>
              </w:rPr>
              <w:lastRenderedPageBreak/>
              <w:t>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A54CA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6A7C51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A54CA0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Instrumenty i usługi rynku pracy służące zdobyciu doświadczenia zawodowego </w:t>
            </w:r>
            <w:r w:rsidRPr="00D8666B">
              <w:rPr>
                <w:rFonts w:ascii="Arial" w:hAnsi="Arial" w:cs="Arial"/>
              </w:rPr>
              <w:lastRenderedPageBreak/>
              <w:t>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A54CA0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6A7C51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</w:t>
            </w:r>
            <w:r w:rsidRPr="00D8666B">
              <w:rPr>
                <w:rFonts w:ascii="Arial" w:hAnsi="Arial" w:cs="Arial"/>
              </w:rPr>
              <w:lastRenderedPageBreak/>
              <w:t>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8 864 081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A54CA0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6A7C51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</w:t>
            </w:r>
            <w:r w:rsidRPr="00C10503">
              <w:rPr>
                <w:rFonts w:ascii="Arial" w:hAnsi="Arial" w:cs="Arial"/>
                <w:lang w:eastAsia="pl-PL"/>
              </w:rPr>
              <w:lastRenderedPageBreak/>
              <w:t>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A54CA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 xml:space="preserve">Wsparcie indywidualnej i kompleksowej aktywizacji zawodowo-edukacyjnej osób młodych (bezrobotnych, biernych </w:t>
            </w:r>
            <w:r w:rsidRPr="00D8666B">
              <w:rPr>
                <w:rFonts w:ascii="Arial" w:hAnsi="Arial" w:cs="Arial"/>
              </w:rPr>
              <w:lastRenderedPageBreak/>
              <w:t>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D8666B">
              <w:rPr>
                <w:rFonts w:ascii="Arial" w:hAnsi="Arial" w:cs="Arial"/>
              </w:rPr>
              <w:lastRenderedPageBreak/>
              <w:t xml:space="preserve">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zatrudnienia osoby młodej u przedsiębiorcy lub innego pracodawcy, stanowiące zachętę do zatrudnienia, m.in. </w:t>
            </w:r>
            <w:r w:rsidRPr="00D8666B">
              <w:rPr>
                <w:rFonts w:ascii="Arial" w:hAnsi="Arial" w:cs="Arial"/>
              </w:rPr>
              <w:lastRenderedPageBreak/>
              <w:t>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geograficznej dla osób młodych, u których zidentyfikowano problem z zatrudnieniem w miejscu zamieszkania, m.in. poprzez </w:t>
            </w:r>
            <w:r w:rsidRPr="00D8666B">
              <w:rPr>
                <w:rFonts w:ascii="Arial" w:hAnsi="Arial" w:cs="Arial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(dotacji) na utworzenie przedsiębiorstwa oraz doradztwo i szkolenia umożliwiające uzyskanie wiedzy i </w:t>
            </w:r>
            <w:r w:rsidRPr="00D8666B">
              <w:rPr>
                <w:rFonts w:ascii="Arial" w:hAnsi="Arial" w:cs="Arial"/>
              </w:rPr>
              <w:lastRenderedPageBreak/>
              <w:t>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552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A54CA0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lastRenderedPageBreak/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6A7C51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rozwoju kariery zawodowej, w tym </w:t>
            </w:r>
            <w:r w:rsidRPr="004F1CC1">
              <w:rPr>
                <w:rFonts w:ascii="Arial" w:hAnsi="Arial" w:cs="Arial"/>
              </w:rPr>
              <w:lastRenderedPageBreak/>
              <w:t>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</w:t>
            </w:r>
            <w:r w:rsidRPr="004F1CC1">
              <w:rPr>
                <w:rFonts w:ascii="Arial" w:hAnsi="Arial" w:cs="Arial"/>
              </w:rPr>
              <w:lastRenderedPageBreak/>
              <w:t>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</w:t>
            </w:r>
            <w:r w:rsidRPr="004F1CC1">
              <w:rPr>
                <w:rFonts w:ascii="Arial" w:hAnsi="Arial" w:cs="Arial"/>
              </w:rPr>
              <w:lastRenderedPageBreak/>
              <w:t>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przedsiębiorczości i </w:t>
            </w:r>
            <w:r w:rsidRPr="004F1CC1">
              <w:rPr>
                <w:rFonts w:ascii="Arial" w:hAnsi="Arial" w:cs="Arial"/>
              </w:rPr>
              <w:lastRenderedPageBreak/>
              <w:t>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552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A54CA0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6A7C5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6A7C51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6A7C5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6A7C51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</w:t>
            </w:r>
            <w:r w:rsidRPr="00D8666B">
              <w:rPr>
                <w:rFonts w:ascii="Arial" w:hAnsi="Arial" w:cs="Arial"/>
              </w:rPr>
              <w:lastRenderedPageBreak/>
              <w:t>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Wypracowanie standardów i </w:t>
            </w:r>
            <w:r w:rsidRPr="00D8666B">
              <w:rPr>
                <w:rFonts w:ascii="Arial" w:hAnsi="Arial" w:cs="Arial"/>
              </w:rPr>
              <w:lastRenderedPageBreak/>
              <w:t>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6A7C51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6A7C51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A7C51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</w:t>
            </w:r>
            <w:r w:rsidRPr="00D8666B">
              <w:rPr>
                <w:rFonts w:ascii="Arial" w:hAnsi="Arial" w:cs="Arial"/>
              </w:rPr>
              <w:lastRenderedPageBreak/>
              <w:t>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6A7C51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Grupa docelowa: </w:t>
            </w:r>
            <w:r>
              <w:rPr>
                <w:sz w:val="22"/>
                <w:szCs w:val="22"/>
              </w:rPr>
              <w:lastRenderedPageBreak/>
              <w:t>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CA0" w:rsidRPr="00FF1ECE" w:rsidTr="006A7C51">
        <w:trPr>
          <w:trHeight w:val="78"/>
        </w:trPr>
        <w:tc>
          <w:tcPr>
            <w:tcW w:w="2518" w:type="dxa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126" w:type="dxa"/>
            <w:gridSpan w:val="3"/>
          </w:tcPr>
          <w:p w:rsidR="00A54CA0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październik 2017 r.</w:t>
            </w:r>
          </w:p>
          <w:p w:rsidR="00A54CA0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  <w:lang w:eastAsia="pl-PL"/>
              </w:rPr>
              <w:t>Projekt dotyczący powołania i funkcjonowania sektorowej rady ds. kompetencji - sektor motoryzacyjny</w:t>
            </w:r>
            <w:r w:rsidRPr="00B9608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2 200 000,00 zł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(w tym dofinansowanie:</w:t>
            </w:r>
          </w:p>
          <w:p w:rsidR="00A54CA0" w:rsidRPr="00D8666B" w:rsidRDefault="00A54CA0" w:rsidP="006A7C51">
            <w:pPr>
              <w:spacing w:before="120" w:after="0"/>
              <w:rPr>
                <w:rFonts w:ascii="Arial" w:hAnsi="Arial" w:cs="Arial"/>
                <w:bCs/>
                <w:color w:val="000000"/>
              </w:rPr>
            </w:pPr>
            <w:r w:rsidRPr="006A7C51">
              <w:rPr>
                <w:rFonts w:ascii="Arial" w:hAnsi="Arial" w:cs="Arial"/>
              </w:rPr>
              <w:t>2 200 000,00 zł)</w:t>
            </w:r>
          </w:p>
        </w:tc>
        <w:tc>
          <w:tcPr>
            <w:tcW w:w="2127" w:type="dxa"/>
            <w:gridSpan w:val="2"/>
          </w:tcPr>
          <w:p w:rsidR="00A54CA0" w:rsidRPr="006A7C51" w:rsidRDefault="00A54CA0" w:rsidP="00A54CA0">
            <w:pPr>
              <w:spacing w:before="120"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A7C51">
              <w:rPr>
                <w:rFonts w:ascii="Arial" w:hAnsi="Arial" w:cs="Arial"/>
                <w:color w:val="000000"/>
                <w:lang w:eastAsia="pl-PL"/>
              </w:rPr>
              <w:t>Polska Agencja Rozwoju Przedsiębiorczości</w:t>
            </w:r>
          </w:p>
          <w:p w:rsidR="00A54CA0" w:rsidRPr="00D8666B" w:rsidRDefault="00A54CA0" w:rsidP="00A54C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Pr="006A7C51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4CA0" w:rsidRPr="00FF1ECE" w:rsidRDefault="00A54CA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</w:t>
            </w:r>
            <w:bookmarkStart w:id="0" w:name="_GoBack"/>
            <w:bookmarkEnd w:id="0"/>
            <w:r w:rsidRPr="00D8666B">
              <w:rPr>
                <w:rFonts w:ascii="Arial" w:hAnsi="Arial" w:cs="Arial"/>
              </w:rPr>
              <w:t xml:space="preserve">tów, narzędzi i materiałów wzbogacających warsztat pracy doradców zawodowych oraz zasobów możliwych do wykorzystania bezpośrednio przez </w:t>
            </w:r>
            <w:r w:rsidRPr="00D8666B">
              <w:rPr>
                <w:rFonts w:ascii="Arial" w:hAnsi="Arial" w:cs="Arial"/>
              </w:rPr>
              <w:lastRenderedPageBreak/>
              <w:t>uczniów, ich rodziców i innych dorosłych użytkowników systemu).</w:t>
            </w:r>
          </w:p>
        </w:tc>
        <w:tc>
          <w:tcPr>
            <w:tcW w:w="1984" w:type="dxa"/>
            <w:gridSpan w:val="2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6A7C51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2127" w:type="dxa"/>
            <w:gridSpan w:val="2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1984" w:type="dxa"/>
            <w:gridSpan w:val="2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27" w:type="dxa"/>
            <w:gridSpan w:val="2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A54CA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A54CA0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</w:t>
            </w:r>
            <w:r w:rsidRPr="00D8666B">
              <w:rPr>
                <w:rFonts w:ascii="Arial" w:hAnsi="Arial" w:cs="Arial"/>
              </w:rPr>
              <w:lastRenderedPageBreak/>
              <w:t>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2127" w:type="dxa"/>
            <w:gridSpan w:val="2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6A7C51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2127" w:type="dxa"/>
            <w:gridSpan w:val="2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</w:t>
            </w:r>
            <w:r w:rsidRPr="00D8666B">
              <w:rPr>
                <w:rFonts w:ascii="Arial" w:hAnsi="Arial" w:cs="Arial"/>
              </w:rPr>
              <w:lastRenderedPageBreak/>
              <w:t>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 xml:space="preserve">Wysokiej jakości usługi </w:t>
            </w:r>
            <w:r w:rsidRPr="00D8666B">
              <w:rPr>
                <w:rFonts w:ascii="Arial" w:hAnsi="Arial" w:cs="Arial"/>
                <w:i/>
              </w:rPr>
              <w:lastRenderedPageBreak/>
              <w:t>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Wdrażanie w administracji publicznej rozwiązań </w:t>
            </w:r>
            <w:r w:rsidRPr="00D8666B">
              <w:rPr>
                <w:rFonts w:ascii="Arial" w:hAnsi="Arial" w:cs="Arial"/>
              </w:rPr>
              <w:lastRenderedPageBreak/>
              <w:t>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 xml:space="preserve">arządców zasobów </w:t>
            </w:r>
            <w:r w:rsidR="005A65BE" w:rsidRPr="00D8666B">
              <w:rPr>
                <w:rFonts w:ascii="Arial" w:hAnsi="Arial" w:cs="Arial"/>
              </w:rPr>
              <w:lastRenderedPageBreak/>
              <w:t>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Spraw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A7C51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A7C5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A7C5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6A7C5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</w:t>
            </w:r>
            <w:r w:rsidRPr="00D8666B">
              <w:rPr>
                <w:rFonts w:ascii="Arial" w:hAnsi="Arial" w:cs="Arial"/>
              </w:rPr>
              <w:lastRenderedPageBreak/>
              <w:t xml:space="preserve">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dostosowanie i realizację programów kształcenia do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temacie: </w:t>
            </w:r>
            <w:proofErr w:type="spellStart"/>
            <w:r w:rsidRPr="000424A0">
              <w:rPr>
                <w:rFonts w:ascii="Arial" w:hAnsi="Arial" w:cs="Arial"/>
                <w:b/>
              </w:rPr>
              <w:t>Deinstytucjonalizacja</w:t>
            </w:r>
            <w:proofErr w:type="spellEnd"/>
            <w:r w:rsidRPr="000424A0">
              <w:rPr>
                <w:rFonts w:ascii="Arial" w:hAnsi="Arial" w:cs="Arial"/>
                <w:b/>
              </w:rPr>
              <w:t xml:space="preserve">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6A7C5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lastRenderedPageBreak/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A7C5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2B317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A7C5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Mikro-innowacje - inkubacja nowych zalążkowych pomysłów, w tym ich opracowanie i rozwinięcie, oraz przetestowanie i upowszechnienie, a także podjęcie działań w zakresie włączenia do polityki i praktyki w </w:t>
            </w:r>
            <w:r w:rsidR="00AD70C0" w:rsidRPr="00BD2987">
              <w:rPr>
                <w:rFonts w:ascii="Arial" w:hAnsi="Arial" w:cs="Arial"/>
              </w:rPr>
              <w:t>tema</w:t>
            </w:r>
            <w:r w:rsidR="00AD70C0">
              <w:rPr>
                <w:rFonts w:ascii="Arial" w:hAnsi="Arial" w:cs="Arial"/>
              </w:rPr>
              <w:t>cie: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0424A0">
              <w:rPr>
                <w:rFonts w:ascii="Arial" w:hAnsi="Arial" w:cs="Arial"/>
                <w:b/>
              </w:rPr>
              <w:t>Rozwój 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A7C5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 w:rsidR="00EB191D"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Programy mobilności ponadnarodowej ukierunkowane na aktywizację zawodową osób młodych zagrożonych wykluczeniem społecznym, z możliwym wykorzystaniem </w:t>
            </w:r>
            <w:r w:rsidRPr="00BD2987">
              <w:rPr>
                <w:rFonts w:ascii="Arial" w:hAnsi="Arial" w:cs="Arial"/>
              </w:rPr>
              <w:lastRenderedPageBreak/>
              <w:t>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6A7C51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F75854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F75854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A7C5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F75854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6A7C5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6A7C5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7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A7C5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6A7C5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 xml:space="preserve">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F75854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</w:t>
            </w:r>
            <w:r w:rsidRPr="00C014C8">
              <w:rPr>
                <w:rFonts w:ascii="Arial" w:hAnsi="Arial" w:cs="Arial"/>
              </w:rPr>
              <w:lastRenderedPageBreak/>
              <w:t>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6A7C5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F75854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6A7C5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8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A0" w:rsidRDefault="00A54CA0" w:rsidP="00946CD5">
      <w:pPr>
        <w:spacing w:after="0" w:line="240" w:lineRule="auto"/>
      </w:pPr>
      <w:r>
        <w:separator/>
      </w:r>
    </w:p>
  </w:endnote>
  <w:endnote w:type="continuationSeparator" w:id="0">
    <w:p w:rsidR="00A54CA0" w:rsidRDefault="00A54CA0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A0" w:rsidRDefault="00A54CA0" w:rsidP="00946CD5">
      <w:pPr>
        <w:spacing w:after="0" w:line="240" w:lineRule="auto"/>
      </w:pPr>
      <w:r>
        <w:separator/>
      </w:r>
    </w:p>
  </w:footnote>
  <w:footnote w:type="continuationSeparator" w:id="0">
    <w:p w:rsidR="00A54CA0" w:rsidRDefault="00A54CA0" w:rsidP="00946CD5">
      <w:pPr>
        <w:spacing w:after="0" w:line="240" w:lineRule="auto"/>
      </w:pPr>
      <w:r>
        <w:continuationSeparator/>
      </w:r>
    </w:p>
  </w:footnote>
  <w:footnote w:id="1">
    <w:p w:rsidR="00A54CA0" w:rsidRPr="000017C1" w:rsidRDefault="00A54CA0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A54CA0" w:rsidRPr="00ED2E5F" w:rsidRDefault="00A54CA0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A54CA0" w:rsidRDefault="00A54C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A54CA0" w:rsidRDefault="00A54CA0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A54CA0" w:rsidRPr="00A06548" w:rsidRDefault="00A54CA0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A54CA0" w:rsidRPr="00A06548" w:rsidRDefault="00A54CA0" w:rsidP="009506FB">
      <w:pPr>
        <w:pStyle w:val="Tekstprzypisudolnego"/>
      </w:pPr>
    </w:p>
  </w:footnote>
  <w:footnote w:id="5">
    <w:p w:rsidR="00A54CA0" w:rsidRDefault="00A54CA0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0" w:rsidRPr="009A2278" w:rsidRDefault="00A54CA0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549A2"/>
    <w:rsid w:val="000B7C41"/>
    <w:rsid w:val="000D150D"/>
    <w:rsid w:val="000E68E7"/>
    <w:rsid w:val="0010681F"/>
    <w:rsid w:val="0011230D"/>
    <w:rsid w:val="00116585"/>
    <w:rsid w:val="00124022"/>
    <w:rsid w:val="001537F3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A7C51"/>
    <w:rsid w:val="006B277D"/>
    <w:rsid w:val="006D100A"/>
    <w:rsid w:val="006D31A9"/>
    <w:rsid w:val="006D7EE5"/>
    <w:rsid w:val="0073783A"/>
    <w:rsid w:val="0073788E"/>
    <w:rsid w:val="00771DA4"/>
    <w:rsid w:val="007B2B49"/>
    <w:rsid w:val="007C60DF"/>
    <w:rsid w:val="007D7D70"/>
    <w:rsid w:val="007F3261"/>
    <w:rsid w:val="00861CFB"/>
    <w:rsid w:val="00867116"/>
    <w:rsid w:val="00883492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54CA0"/>
    <w:rsid w:val="00A54FEF"/>
    <w:rsid w:val="00A64B83"/>
    <w:rsid w:val="00A67D9B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0C28"/>
    <w:rsid w:val="00D42811"/>
    <w:rsid w:val="00D8666B"/>
    <w:rsid w:val="00DE54C0"/>
    <w:rsid w:val="00DF18C0"/>
    <w:rsid w:val="00E14C07"/>
    <w:rsid w:val="00E27A9A"/>
    <w:rsid w:val="00E4566D"/>
    <w:rsid w:val="00E6654C"/>
    <w:rsid w:val="00E71B96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402E"/>
    <w:rsid w:val="00F56F0D"/>
    <w:rsid w:val="00F635A8"/>
    <w:rsid w:val="00F75854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efs.wup-katowice.pl" TargetMode="External"/><Relationship Id="rId18" Type="http://schemas.openxmlformats.org/officeDocument/2006/relationships/hyperlink" Target="file:///\\Tango\DZF\PO%20WER\Promocja\Harmonogramy\2017_Harmonogram\www.wup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ip.mswia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opole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http://wupbialystok.praca.gov.pl/web/power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efs.kprm.gov.pl\po-wer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yperlink" Target="file:///\\Tango\DZF\PO%20WER\Promocja\Harmonogramy\2017_Harmonogram\www.zdrowie.gov.pl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ww.wup.kielce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gdansk.pl" TargetMode="External"/><Relationship Id="rId17" Type="http://schemas.openxmlformats.org/officeDocument/2006/relationships/hyperlink" Target="file:///\\Tango\DZF\PO%20WER\Promocja\Harmonogramy\2017_Harmonogram\wuprzeszow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ncbir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http://www.parp.gov.pl/index/main/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lodz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ms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B72B-5CE2-47A6-80BD-2140963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10099</Words>
  <Characters>60597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2017-06-28T13:08:00Z</dcterms:created>
  <dcterms:modified xsi:type="dcterms:W3CDTF">2017-06-28T13:10:00Z</dcterms:modified>
</cp:coreProperties>
</file>