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6B277D">
        <w:rPr>
          <w:rFonts w:ascii="Arial" w:eastAsia="Times New Roman" w:hAnsi="Arial" w:cs="Arial"/>
          <w:color w:val="auto"/>
          <w:szCs w:val="26"/>
          <w:lang w:eastAsia="pl-PL"/>
        </w:rPr>
        <w:t>5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6B277D">
        <w:rPr>
          <w:rFonts w:ascii="Arial" w:eastAsia="Times New Roman" w:hAnsi="Arial" w:cs="Arial"/>
          <w:color w:val="auto"/>
          <w:szCs w:val="26"/>
          <w:lang w:eastAsia="pl-PL"/>
        </w:rPr>
        <w:t>14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6B277D">
        <w:rPr>
          <w:rFonts w:ascii="Arial" w:eastAsia="Times New Roman" w:hAnsi="Arial" w:cs="Arial"/>
          <w:color w:val="auto"/>
          <w:szCs w:val="26"/>
          <w:lang w:eastAsia="pl-PL"/>
        </w:rPr>
        <w:t>6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bookmarkStart w:id="0" w:name="_GoBack"/>
      <w:bookmarkEnd w:id="0"/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843"/>
        <w:gridCol w:w="141"/>
        <w:gridCol w:w="142"/>
        <w:gridCol w:w="1985"/>
        <w:gridCol w:w="2126"/>
      </w:tblGrid>
      <w:tr w:rsidR="00F635A8" w:rsidRPr="00FF1ECE" w:rsidTr="00F75854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75854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75854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6B277D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75854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6B277D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75854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F75854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6B277D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F75854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75854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6B277D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75854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6B277D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75854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6B277D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75854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lastRenderedPageBreak/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6B277D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8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</w:t>
            </w:r>
            <w:r w:rsidRPr="00D8666B">
              <w:rPr>
                <w:rFonts w:ascii="Arial" w:hAnsi="Arial" w:cs="Arial"/>
              </w:rPr>
              <w:lastRenderedPageBreak/>
              <w:t>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</w:t>
            </w:r>
            <w:r w:rsidRPr="00D8666B">
              <w:rPr>
                <w:rFonts w:ascii="Arial" w:hAnsi="Arial" w:cs="Arial"/>
              </w:rPr>
              <w:lastRenderedPageBreak/>
              <w:t>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</w:t>
            </w:r>
            <w:r w:rsidRPr="00D8666B">
              <w:rPr>
                <w:rFonts w:ascii="Arial" w:hAnsi="Arial" w:cs="Arial"/>
              </w:rPr>
              <w:lastRenderedPageBreak/>
              <w:t>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lastRenderedPageBreak/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6B277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9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F75854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</w:t>
            </w:r>
            <w:r w:rsidRPr="004F1CC1">
              <w:rPr>
                <w:rFonts w:ascii="Arial" w:hAnsi="Arial" w:cs="Arial"/>
              </w:rPr>
              <w:lastRenderedPageBreak/>
              <w:t>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lastRenderedPageBreak/>
              <w:t>a) nabywanie lub uzupełnianie doświadczenia zawodowego oraz praktycznych umiejętności w 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</w:t>
            </w:r>
            <w:r w:rsidRPr="004F1CC1">
              <w:rPr>
                <w:rFonts w:ascii="Arial" w:hAnsi="Arial" w:cs="Arial"/>
              </w:rPr>
              <w:lastRenderedPageBreak/>
              <w:t>kwalifikacji pozwalających na podjęcie zatrudnienia w innym sektorze, min. poprzez praktyki, 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</w:t>
            </w:r>
            <w:r w:rsidRPr="004F1CC1">
              <w:rPr>
                <w:rFonts w:ascii="Arial" w:hAnsi="Arial" w:cs="Arial"/>
              </w:rPr>
              <w:lastRenderedPageBreak/>
              <w:t>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6B277D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88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6B277D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F75854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F75854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6B277D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2049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</w:t>
            </w:r>
            <w:r w:rsidRPr="00D8666B">
              <w:rPr>
                <w:rFonts w:ascii="Arial" w:hAnsi="Arial" w:cs="Arial"/>
              </w:rPr>
              <w:lastRenderedPageBreak/>
              <w:t>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Wypracowanie standardów i </w:t>
            </w:r>
            <w:r w:rsidRPr="00D8666B">
              <w:rPr>
                <w:rFonts w:ascii="Arial" w:hAnsi="Arial" w:cs="Arial"/>
              </w:rPr>
              <w:lastRenderedPageBreak/>
              <w:t>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F75854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6B277D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F75854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6B277D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75854" w:rsidRPr="00F75854">
              <w:trPr>
                <w:trHeight w:val="394"/>
              </w:trPr>
              <w:tc>
                <w:tcPr>
                  <w:tcW w:w="1886" w:type="dxa"/>
                </w:tcPr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5854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Uruchomienie konkursu uzależnione jest od </w:t>
                  </w:r>
                  <w:r w:rsidRPr="00F75854">
                    <w:rPr>
                      <w:rFonts w:ascii="Arial" w:hAnsi="Arial" w:cs="Arial"/>
                    </w:rPr>
                    <w:t>opracowania właściwych produktów projektów pozakonkursowych.</w:t>
                  </w:r>
                </w:p>
                <w:p w:rsidR="00F75854" w:rsidRDefault="00F75854" w:rsidP="00F75854">
                  <w:pPr>
                    <w:pStyle w:val="Default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F75854" w:rsidRPr="00F75854" w:rsidRDefault="00F75854" w:rsidP="00F75854">
                  <w:pPr>
                    <w:pStyle w:val="Default"/>
                    <w:rPr>
                      <w:rFonts w:cs="Arial"/>
                    </w:rPr>
                  </w:pPr>
                  <w:r w:rsidRPr="00F75854">
                    <w:rPr>
                      <w:rFonts w:cs="Arial"/>
                      <w:sz w:val="22"/>
                      <w:szCs w:val="22"/>
                    </w:rPr>
                    <w:t>Grupa docelowa</w:t>
                  </w:r>
                  <w:r>
                    <w:rPr>
                      <w:rFonts w:cs="Arial"/>
                      <w:sz w:val="22"/>
                      <w:szCs w:val="22"/>
                    </w:rPr>
                    <w:t>:</w:t>
                  </w:r>
                  <w:r w:rsidRPr="00F75854">
                    <w:rPr>
                      <w:rFonts w:cs="Arial"/>
                      <w:sz w:val="22"/>
                      <w:szCs w:val="22"/>
                    </w:rPr>
                    <w:t xml:space="preserve"> dyrektorzy, wicedyrektorzy szkół oraz osoby pełniące inne funkcje kierownicze.</w:t>
                  </w: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6B277D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5854">
              <w:rPr>
                <w:rFonts w:ascii="Arial" w:hAnsi="Arial" w:cs="Arial"/>
                <w:color w:val="000000"/>
                <w:lang w:eastAsia="pl-PL"/>
              </w:rPr>
              <w:t xml:space="preserve">Uruchomienie konkursu uzależnione jest od </w:t>
            </w:r>
            <w:r w:rsidRPr="00F75854">
              <w:rPr>
                <w:rFonts w:ascii="Arial" w:hAnsi="Arial" w:cs="Arial"/>
              </w:rPr>
              <w:t>opracowania właściwych produktów projektów pozakonkursowych.</w:t>
            </w:r>
          </w:p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</w:t>
            </w:r>
            <w:r w:rsidRPr="00D8666B">
              <w:rPr>
                <w:rFonts w:ascii="Arial" w:hAnsi="Arial" w:cs="Arial"/>
              </w:rPr>
              <w:lastRenderedPageBreak/>
              <w:t>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6B277D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Default="00ED4BB2" w:rsidP="00867116">
            <w:pPr>
              <w:spacing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Grupa docelowa: </w:t>
            </w:r>
            <w:r>
              <w:rPr>
                <w:sz w:val="22"/>
                <w:szCs w:val="22"/>
              </w:rPr>
              <w:lastRenderedPageBreak/>
              <w:t>pracownicy nadzoru pedagogicznego.</w:t>
            </w:r>
          </w:p>
          <w:p w:rsidR="00F75854" w:rsidRPr="00D8666B" w:rsidRDefault="00F75854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F75854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F75854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2049" w:type="dxa"/>
            <w:gridSpan w:val="11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 xml:space="preserve">, statystyk dotyczących uczniów i absolwentów, narzędzi i materiałów wzbogacających warsztat pracy doradców zawodowych oraz zasobów możliwych do wykorzystania bezpośrednio przez </w:t>
            </w:r>
            <w:r w:rsidRPr="00D8666B">
              <w:rPr>
                <w:rFonts w:ascii="Arial" w:hAnsi="Arial" w:cs="Arial"/>
              </w:rPr>
              <w:lastRenderedPageBreak/>
              <w:t>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F75854">
            <w:pPr>
              <w:ind w:right="-108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>Realizacja projektu uzależniona jest od przyjęcia projektu przepisów prawnych przez Ministra właściwego ds. oświaty i wychowania, które warunkują prawidłową realizację projektów.</w:t>
            </w:r>
          </w:p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F75854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</w:t>
            </w:r>
            <w:r w:rsidRPr="00D8666B">
              <w:rPr>
                <w:rFonts w:ascii="Arial" w:hAnsi="Arial" w:cs="Arial"/>
              </w:rPr>
              <w:lastRenderedPageBreak/>
              <w:t>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2126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F75854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F75854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</w:t>
            </w:r>
            <w:r w:rsidRPr="00D8666B">
              <w:rPr>
                <w:rFonts w:ascii="Arial" w:hAnsi="Arial" w:cs="Arial"/>
              </w:rPr>
              <w:lastRenderedPageBreak/>
              <w:t>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F75854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F75854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2049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F75854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 xml:space="preserve">Wysokiej jakości usługi </w:t>
            </w:r>
            <w:r w:rsidRPr="00D8666B">
              <w:rPr>
                <w:rFonts w:ascii="Arial" w:hAnsi="Arial" w:cs="Arial"/>
                <w:i/>
              </w:rPr>
              <w:lastRenderedPageBreak/>
              <w:t>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Wdrażanie w administracji publicznej rozwiązań </w:t>
            </w:r>
            <w:r w:rsidRPr="00D8666B">
              <w:rPr>
                <w:rFonts w:ascii="Arial" w:hAnsi="Arial" w:cs="Arial"/>
              </w:rPr>
              <w:lastRenderedPageBreak/>
              <w:t>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 xml:space="preserve">arządców zasobów </w:t>
            </w:r>
            <w:r w:rsidR="005A65BE" w:rsidRPr="00D8666B">
              <w:rPr>
                <w:rFonts w:ascii="Arial" w:hAnsi="Arial" w:cs="Arial"/>
              </w:rPr>
              <w:lastRenderedPageBreak/>
              <w:t>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Spraw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B277D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2126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F75854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Podnoszenie kompetencji kadr planowania przestrzennego w zakresie technik zapisu miejscowego planu 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75854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B277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F75854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6B277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75854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Wspieranie świadczenia wysokiej jakości usług przez instytucje (np. akademickie biura karier), wspomagające studentów w rozpoczęciu 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F75854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osób uczestniczących w edukacji na poziomie wyższym, w obszarach kluczowych dla gospodarki i rozwoju kraju, określanych w oparciu o analizy i prognozy 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</w:t>
            </w:r>
            <w:r w:rsidRPr="00D8666B">
              <w:rPr>
                <w:rFonts w:ascii="Arial" w:hAnsi="Arial" w:cs="Arial"/>
              </w:rPr>
              <w:lastRenderedPageBreak/>
              <w:t xml:space="preserve">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działania włączające 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75854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dostosowanie i realizację programów kształcenia do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75854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537F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temacie: </w:t>
            </w:r>
            <w:r w:rsidRPr="000424A0">
              <w:rPr>
                <w:rFonts w:ascii="Arial" w:hAnsi="Arial" w:cs="Arial"/>
                <w:b/>
              </w:rPr>
              <w:t>Deinstytucjonalizacja usług świadczonych na rzecz osób z zaburzeniami i chorobami psychicznymi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1537F3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B277D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</w:t>
            </w:r>
            <w:r w:rsidR="00AD70C0">
              <w:rPr>
                <w:rFonts w:ascii="Arial" w:hAnsi="Arial" w:cs="Arial"/>
              </w:rPr>
              <w:t xml:space="preserve">w temacie: </w:t>
            </w:r>
            <w:r w:rsidR="00AD70C0" w:rsidRPr="000424A0">
              <w:rPr>
                <w:rFonts w:ascii="Arial" w:hAnsi="Arial" w:cs="Arial"/>
                <w:b/>
              </w:rPr>
              <w:lastRenderedPageBreak/>
              <w:t>Programuj z PO WER</w:t>
            </w:r>
            <w:r w:rsidR="00AD70C0" w:rsidRPr="00BD2987" w:rsidDel="00AD7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AB4800" w:rsidRPr="00BD2987" w:rsidRDefault="00AD70C0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B27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2B317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0424A0" w:rsidRDefault="00AB4800" w:rsidP="00BD2987">
            <w:pPr>
              <w:spacing w:after="120"/>
              <w:rPr>
                <w:rFonts w:ascii="Arial" w:hAnsi="Arial" w:cs="Arial"/>
                <w:b/>
                <w:lang w:eastAsia="pl-PL"/>
              </w:rPr>
            </w:pPr>
            <w:r w:rsidRPr="000424A0">
              <w:rPr>
                <w:rFonts w:ascii="Arial" w:hAnsi="Arial" w:cs="Arial"/>
                <w:b/>
              </w:rPr>
              <w:t>Środowiskowy system wsparcia w planowaniu przyszłości osób dorosłych z niepełnosprawnością intelektualną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B27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F75854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6D7EE5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6D7EE5" w:rsidRPr="00BD2987" w:rsidRDefault="006D7EE5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Mikro-innowacje - inkubacja nowych zalążkowych pomysłów, w tym ich opracowanie i rozwinięcie, oraz przetestowanie i upowszechnienie, a także podjęcie działań w zakresie włączenia do polityki i praktyki w </w:t>
            </w:r>
            <w:r w:rsidR="00AD70C0" w:rsidRPr="00BD2987">
              <w:rPr>
                <w:rFonts w:ascii="Arial" w:hAnsi="Arial" w:cs="Arial"/>
              </w:rPr>
              <w:t>tema</w:t>
            </w:r>
            <w:r w:rsidR="00AD70C0">
              <w:rPr>
                <w:rFonts w:ascii="Arial" w:hAnsi="Arial" w:cs="Arial"/>
              </w:rPr>
              <w:t>cie:</w:t>
            </w:r>
            <w:r w:rsidR="00AD70C0" w:rsidRPr="00BD2987">
              <w:rPr>
                <w:rFonts w:ascii="Arial" w:hAnsi="Arial" w:cs="Arial"/>
              </w:rPr>
              <w:t xml:space="preserve"> </w:t>
            </w:r>
            <w:r w:rsidR="00AD70C0" w:rsidRPr="000424A0">
              <w:rPr>
                <w:rFonts w:ascii="Arial" w:hAnsi="Arial" w:cs="Arial"/>
                <w:b/>
              </w:rPr>
              <w:t>Rozwój kadr przemysłu motoryzacyjnego w ramach kształcenia na 5. poziomie Polskich Ram Kwalifikacji</w:t>
            </w:r>
            <w:r w:rsidR="00AD70C0" w:rsidRPr="000424A0" w:rsidDel="00AD70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D7EE5" w:rsidRPr="00BD2987" w:rsidRDefault="00AD70C0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B27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</w:t>
            </w:r>
            <w:r w:rsidR="00EB191D">
              <w:rPr>
                <w:rFonts w:ascii="Arial" w:hAnsi="Arial" w:cs="Arial"/>
                <w:lang w:eastAsia="pl-PL"/>
              </w:rPr>
              <w:t>6</w:t>
            </w:r>
            <w:r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Programy mobilności ponadnarodowej ukierunkowane na aktywizację zawodową osób młodych zagrożonych wykluczeniem społecznym, z możliwym wykorzystaniem </w:t>
            </w:r>
            <w:r w:rsidRPr="00BD2987">
              <w:rPr>
                <w:rFonts w:ascii="Arial" w:hAnsi="Arial" w:cs="Arial"/>
              </w:rPr>
              <w:lastRenderedPageBreak/>
              <w:t>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B277D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F75854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6B277D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F75854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6B277D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6B277D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6B27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6B27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</w:t>
            </w:r>
            <w:r w:rsidRPr="00D8666B">
              <w:rPr>
                <w:rFonts w:ascii="Arial" w:hAnsi="Arial" w:cs="Arial"/>
              </w:rPr>
              <w:lastRenderedPageBreak/>
              <w:t xml:space="preserve">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</w:t>
            </w:r>
            <w:r w:rsidRPr="00D8666B">
              <w:rPr>
                <w:rFonts w:ascii="Arial" w:hAnsi="Arial" w:cs="Arial"/>
              </w:rPr>
              <w:lastRenderedPageBreak/>
              <w:t xml:space="preserve">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</w:t>
            </w:r>
            <w:r w:rsidRPr="00C014C8">
              <w:rPr>
                <w:rFonts w:ascii="Arial" w:hAnsi="Arial" w:cs="Arial"/>
              </w:rPr>
              <w:lastRenderedPageBreak/>
              <w:t>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6B277D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Centrów Symulacji 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B277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3" w:rsidRDefault="008E17E3" w:rsidP="00946CD5">
      <w:pPr>
        <w:spacing w:after="0" w:line="240" w:lineRule="auto"/>
      </w:pPr>
      <w:r>
        <w:separator/>
      </w:r>
    </w:p>
  </w:endnote>
  <w:end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3" w:rsidRDefault="008E17E3" w:rsidP="00946CD5">
      <w:pPr>
        <w:spacing w:after="0" w:line="240" w:lineRule="auto"/>
      </w:pPr>
      <w:r>
        <w:separator/>
      </w:r>
    </w:p>
  </w:footnote>
  <w:foot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footnote>
  <w:footnote w:id="1">
    <w:p w:rsidR="008E17E3" w:rsidRPr="000017C1" w:rsidRDefault="008E17E3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8E17E3" w:rsidRPr="00ED2E5F" w:rsidRDefault="008E17E3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8E17E3" w:rsidRDefault="008E17E3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8E17E3" w:rsidRPr="00A06548" w:rsidRDefault="008E17E3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8E17E3" w:rsidRPr="00A06548" w:rsidRDefault="008E17E3" w:rsidP="009506FB">
      <w:pPr>
        <w:pStyle w:val="Tekstprzypisudolnego"/>
      </w:pPr>
    </w:p>
  </w:footnote>
  <w:footnote w:id="5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E3" w:rsidRPr="009A2278" w:rsidRDefault="008E17E3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424A0"/>
    <w:rsid w:val="000549A2"/>
    <w:rsid w:val="000B7C41"/>
    <w:rsid w:val="000D150D"/>
    <w:rsid w:val="000E68E7"/>
    <w:rsid w:val="0010681F"/>
    <w:rsid w:val="0011230D"/>
    <w:rsid w:val="00116585"/>
    <w:rsid w:val="00124022"/>
    <w:rsid w:val="001537F3"/>
    <w:rsid w:val="00192E52"/>
    <w:rsid w:val="001C23C4"/>
    <w:rsid w:val="001D24B6"/>
    <w:rsid w:val="002114A2"/>
    <w:rsid w:val="002B19D6"/>
    <w:rsid w:val="002B317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B277D"/>
    <w:rsid w:val="006D100A"/>
    <w:rsid w:val="006D31A9"/>
    <w:rsid w:val="006D7EE5"/>
    <w:rsid w:val="0073783A"/>
    <w:rsid w:val="0073788E"/>
    <w:rsid w:val="00771DA4"/>
    <w:rsid w:val="007B2B49"/>
    <w:rsid w:val="007C60DF"/>
    <w:rsid w:val="007D7D70"/>
    <w:rsid w:val="007F3261"/>
    <w:rsid w:val="00861CFB"/>
    <w:rsid w:val="00867116"/>
    <w:rsid w:val="00883492"/>
    <w:rsid w:val="008A7B09"/>
    <w:rsid w:val="008B132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D70C0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558EE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6654C"/>
    <w:rsid w:val="00E71B96"/>
    <w:rsid w:val="00E95FF5"/>
    <w:rsid w:val="00EA04C5"/>
    <w:rsid w:val="00EB191D"/>
    <w:rsid w:val="00EC2281"/>
    <w:rsid w:val="00EC519B"/>
    <w:rsid w:val="00ED2E5F"/>
    <w:rsid w:val="00ED4BB2"/>
    <w:rsid w:val="00F0351B"/>
    <w:rsid w:val="00F21F4C"/>
    <w:rsid w:val="00F3402E"/>
    <w:rsid w:val="00F56F0D"/>
    <w:rsid w:val="00F635A8"/>
    <w:rsid w:val="00F75854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www.wup.kielce.pl" TargetMode="External"/><Relationship Id="rId18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cpe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rzeszow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wup.torun.pl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ms.gov.pl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zdrowi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uplodz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kprm.gov.pl\po-wer" TargetMode="External"/><Relationship Id="rId48" Type="http://schemas.openxmlformats.org/officeDocument/2006/relationships/hyperlink" Target="file:///\\Tango\DZF\PO%20WER\Promocja\Harmonogramy\2017_Harmonogram\ip.mswia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ncbir.pl" TargetMode="External"/><Relationship Id="rId72" Type="http://schemas.openxmlformats.org/officeDocument/2006/relationships/hyperlink" Target="file:///\\Tango\DZF\PO%20WER\Promocja\Harmonogramy\2017_Harmonogram\www.zdrowie.gov.pl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efs.wup-katowice.pl" TargetMode="External"/><Relationship Id="rId17" Type="http://schemas.openxmlformats.org/officeDocument/2006/relationships/hyperlink" Target="file:///\\Tango\DZF\PO%20WER\Promocja\Harmonogramy\2017_Harmonogram\www.wup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efs.mrpips.gov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opole.praca.gov.pl" TargetMode="External"/><Relationship Id="rId23" Type="http://schemas.openxmlformats.org/officeDocument/2006/relationships/hyperlink" Target="http://www.parp.gov.pl/index/main/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32D2-96D3-4F69-BFBD-449486E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9636</Words>
  <Characters>57816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3</cp:revision>
  <cp:lastPrinted>2017-04-06T10:46:00Z</cp:lastPrinted>
  <dcterms:created xsi:type="dcterms:W3CDTF">2017-06-14T08:40:00Z</dcterms:created>
  <dcterms:modified xsi:type="dcterms:W3CDTF">2017-06-14T08:41:00Z</dcterms:modified>
</cp:coreProperties>
</file>